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399042" w14:textId="77777777" w:rsidR="00406649" w:rsidRPr="00EF75F9" w:rsidRDefault="00DC2DD3" w:rsidP="00DC2DD3">
      <w:pPr>
        <w:pStyle w:val="Default"/>
        <w:rPr>
          <w:lang w:val="en-GB"/>
        </w:rPr>
      </w:pPr>
      <w:r w:rsidRPr="00EF75F9">
        <w:rPr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BDAE7" wp14:editId="09C9C93B">
                <wp:simplePos x="0" y="0"/>
                <wp:positionH relativeFrom="margin">
                  <wp:posOffset>4094480</wp:posOffset>
                </wp:positionH>
                <wp:positionV relativeFrom="paragraph">
                  <wp:posOffset>144780</wp:posOffset>
                </wp:positionV>
                <wp:extent cx="3757930" cy="334010"/>
                <wp:effectExtent l="0" t="0" r="0" b="88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C8F5" w14:textId="77777777" w:rsidR="00DC2DD3" w:rsidRDefault="00DC2DD3">
                            <w:r w:rsidRPr="00DC2DD3">
                              <w:rPr>
                                <w:bCs/>
                                <w:sz w:val="32"/>
                                <w:szCs w:val="32"/>
                              </w:rPr>
                              <w:t>Managing for @ School of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8BBDAE7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margin-left:322.4pt;margin-top:11.4pt;width:295.9pt;height:26.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" stroked="f">
                <v:textbox style="mso-fit-shape-to-text:t">
                  <w:txbxContent>
                    <w:p w14:paraId="629FC8F5" w14:textId="77777777" w:rsidR="00DC2DD3" w:rsidRDefault="00DC2DD3">
                      <w:r w:rsidRPr="00DC2DD3">
                        <w:rPr>
                          <w:bCs/>
                          <w:sz w:val="32"/>
                          <w:szCs w:val="32"/>
                        </w:rPr>
                        <w:t>Managing for @ School of Success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57F8" w:rsidRPr="00EF75F9">
        <w:rPr>
          <w:rFonts w:ascii="Cambria" w:hAnsi="Cambria" w:cs="Times New Roman"/>
          <w:i/>
          <w:iCs/>
          <w:noProof/>
          <w:color w:val="4F81BD"/>
          <w:sz w:val="26"/>
        </w:rPr>
        <w:drawing>
          <wp:inline distT="0" distB="0" distL="0" distR="0" wp14:anchorId="1D3992D6" wp14:editId="44C2CA46">
            <wp:extent cx="1428750" cy="707700"/>
            <wp:effectExtent l="0" t="0" r="0" b="0"/>
            <wp:docPr id="4" name="Imagem 4" descr="C:\Users\AEPC\Downloads\Looptip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PC\Downloads\LooptipoM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981" cy="79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7F8" w:rsidRPr="00EF75F9">
        <w:rPr>
          <w:rFonts w:ascii="Calibri" w:hAnsi="Calibri" w:cs="Arial"/>
          <w:bCs/>
          <w:noProof/>
        </w:rPr>
        <w:drawing>
          <wp:inline distT="0" distB="0" distL="0" distR="0" wp14:anchorId="7FD6B18C" wp14:editId="6A664B0E">
            <wp:extent cx="909067" cy="638175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45" cy="663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75F9">
        <w:rPr>
          <w:rFonts w:ascii="Calibri" w:hAnsi="Calibri" w:cs="Arial"/>
          <w:noProof/>
          <w:color w:val="000080"/>
          <w:sz w:val="2"/>
          <w:szCs w:val="2"/>
        </w:rPr>
        <w:drawing>
          <wp:inline distT="0" distB="0" distL="0" distR="0" wp14:anchorId="715A5A62" wp14:editId="324A5CEF">
            <wp:extent cx="923925" cy="67610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73" cy="6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20EB" w14:textId="77777777" w:rsidR="00DC2DD3" w:rsidRPr="00EF75F9" w:rsidRDefault="00DC2DD3" w:rsidP="00E057F8">
      <w:pPr>
        <w:rPr>
          <w:rFonts w:ascii="Calibri" w:hAnsi="Calibri" w:cs="Arial"/>
          <w:b/>
          <w:smallCaps/>
          <w:color w:val="000000"/>
          <w:spacing w:val="40"/>
          <w:sz w:val="28"/>
          <w:szCs w:val="28"/>
          <w:lang w:val="en-GB"/>
        </w:rPr>
      </w:pPr>
    </w:p>
    <w:p w14:paraId="1ADBDB9F" w14:textId="77777777" w:rsidR="005D4102" w:rsidRPr="00EF75F9" w:rsidRDefault="00406649" w:rsidP="00E057F8">
      <w:pPr>
        <w:rPr>
          <w:rFonts w:ascii="Calibri" w:hAnsi="Calibri" w:cs="Arial"/>
          <w:b/>
          <w:smallCaps/>
          <w:color w:val="000000"/>
          <w:spacing w:val="40"/>
          <w:sz w:val="28"/>
          <w:szCs w:val="28"/>
          <w:lang w:val="en-GB"/>
        </w:rPr>
      </w:pPr>
      <w:r w:rsidRPr="00EF75F9">
        <w:rPr>
          <w:rFonts w:ascii="Calibri" w:hAnsi="Calibri" w:cs="Arial"/>
          <w:b/>
          <w:smallCaps/>
          <w:color w:val="000000"/>
          <w:spacing w:val="40"/>
          <w:sz w:val="28"/>
          <w:szCs w:val="28"/>
          <w:lang w:val="en-GB"/>
        </w:rPr>
        <w:t>TASK N.º2</w:t>
      </w:r>
    </w:p>
    <w:p w14:paraId="4F6B9E50" w14:textId="0BB2A815" w:rsidR="002C34F9" w:rsidRDefault="00406649" w:rsidP="00F11D27">
      <w:pPr>
        <w:jc w:val="center"/>
        <w:rPr>
          <w:rFonts w:ascii="Calibri" w:hAnsi="Calibri"/>
          <w:sz w:val="20"/>
          <w:szCs w:val="20"/>
          <w:lang w:val="en-GB"/>
        </w:rPr>
      </w:pPr>
      <w:r w:rsidRPr="00EF75F9">
        <w:rPr>
          <w:rFonts w:ascii="Calibri" w:hAnsi="Calibri" w:cs="Arial"/>
          <w:b/>
          <w:smallCaps/>
          <w:color w:val="000000"/>
          <w:spacing w:val="40"/>
          <w:lang w:val="en-GB"/>
        </w:rPr>
        <w:t xml:space="preserve">EVALUATION OF ACADEMIC SUCCESS </w:t>
      </w:r>
      <w:r w:rsidR="00E004B4" w:rsidRPr="00EF75F9">
        <w:rPr>
          <w:rFonts w:ascii="Calibri" w:hAnsi="Calibri"/>
          <w:sz w:val="20"/>
          <w:szCs w:val="20"/>
          <w:lang w:val="en-GB"/>
        </w:rPr>
        <w:tab/>
      </w:r>
    </w:p>
    <w:p w14:paraId="1A0FC0B4" w14:textId="77777777" w:rsidR="00F11D27" w:rsidRPr="00EF75F9" w:rsidRDefault="00F11D27" w:rsidP="00F11D27">
      <w:pPr>
        <w:jc w:val="center"/>
        <w:rPr>
          <w:rFonts w:ascii="Calibri" w:hAnsi="Calibri" w:cs="Arial"/>
          <w:b/>
          <w:smallCaps/>
          <w:color w:val="000000"/>
          <w:spacing w:val="40"/>
          <w:lang w:val="en-GB"/>
        </w:rPr>
      </w:pPr>
    </w:p>
    <w:p w14:paraId="6EA530D6" w14:textId="77777777" w:rsidR="002C34F9" w:rsidRPr="00EF75F9" w:rsidRDefault="002C34F9" w:rsidP="00F11D27">
      <w:pPr>
        <w:shd w:val="clear" w:color="auto" w:fill="FFFFFF"/>
        <w:spacing w:line="360" w:lineRule="auto"/>
        <w:ind w:firstLine="709"/>
        <w:jc w:val="both"/>
        <w:rPr>
          <w:rFonts w:ascii="Calibri" w:hAnsi="Calibri"/>
          <w:lang w:val="en-GB"/>
        </w:rPr>
      </w:pPr>
      <w:r w:rsidRPr="00EF75F9">
        <w:rPr>
          <w:rFonts w:ascii="Calibri" w:hAnsi="Calibri"/>
          <w:lang w:val="en-GB"/>
        </w:rPr>
        <w:t xml:space="preserve">From the existing self-evaluation experiences in the </w:t>
      </w:r>
      <w:r w:rsidRPr="00EF75F9">
        <w:rPr>
          <w:rFonts w:ascii="Arial" w:hAnsi="Arial" w:cs="Arial"/>
          <w:sz w:val="22"/>
          <w:szCs w:val="22"/>
          <w:lang w:val="en-GB"/>
        </w:rPr>
        <w:t>Agrupamento de Escolas de Penalva do Castelo I chose to disclose the internal academic analysis results obtained at the end of each term. This analysis not only provides a general view on the general internal academic results obtained by the pupils attending different subject areas (primary education) and subjects (2</w:t>
      </w:r>
      <w:r w:rsidRPr="00EF75F9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EF75F9">
        <w:rPr>
          <w:rFonts w:ascii="Arial" w:hAnsi="Arial" w:cs="Arial"/>
          <w:sz w:val="22"/>
          <w:szCs w:val="22"/>
          <w:lang w:val="en-GB"/>
        </w:rPr>
        <w:t xml:space="preserve"> 3</w:t>
      </w:r>
      <w:r w:rsidRPr="00EF75F9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 w:rsidRPr="00EF75F9">
        <w:rPr>
          <w:rFonts w:ascii="Arial" w:hAnsi="Arial" w:cs="Arial"/>
          <w:sz w:val="22"/>
          <w:szCs w:val="22"/>
          <w:lang w:val="en-GB"/>
        </w:rPr>
        <w:t xml:space="preserve"> basic education cycles and secondary education), as well as the knowledge of results of each subject area (primary education) and subject (2</w:t>
      </w:r>
      <w:r w:rsidRPr="00EF75F9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EF75F9">
        <w:rPr>
          <w:rFonts w:ascii="Arial" w:hAnsi="Arial" w:cs="Arial"/>
          <w:sz w:val="22"/>
          <w:szCs w:val="22"/>
          <w:lang w:val="en-GB"/>
        </w:rPr>
        <w:t xml:space="preserve"> 3</w:t>
      </w:r>
      <w:r w:rsidRPr="00EF75F9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 w:rsidRPr="00EF75F9">
        <w:rPr>
          <w:rFonts w:ascii="Arial" w:hAnsi="Arial" w:cs="Arial"/>
          <w:sz w:val="22"/>
          <w:szCs w:val="22"/>
          <w:lang w:val="en-GB"/>
        </w:rPr>
        <w:t xml:space="preserve"> basic education cycles and secondary education) in accordance with the assessment framework built for this specific purpose. </w:t>
      </w:r>
    </w:p>
    <w:p w14:paraId="4C9850EC" w14:textId="5CD1318E" w:rsidR="00884C15" w:rsidRPr="00F11D27" w:rsidRDefault="00E057F8" w:rsidP="00F11D27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F75F9">
        <w:rPr>
          <w:rFonts w:ascii="Arial" w:hAnsi="Arial" w:cs="Arial"/>
          <w:sz w:val="22"/>
          <w:szCs w:val="22"/>
          <w:lang w:val="en-GB"/>
        </w:rPr>
        <w:tab/>
      </w:r>
      <w:r w:rsidR="00037314" w:rsidRPr="00EF75F9">
        <w:rPr>
          <w:rFonts w:ascii="Arial" w:hAnsi="Arial" w:cs="Arial"/>
          <w:sz w:val="22"/>
          <w:szCs w:val="22"/>
          <w:lang w:val="en-GB"/>
        </w:rPr>
        <w:t xml:space="preserve">The internal assessment of the academic success occurs according to the following phases: </w:t>
      </w:r>
    </w:p>
    <w:p w14:paraId="7159B761" w14:textId="3A6A370C" w:rsidR="00F86D85" w:rsidRPr="00EF75F9" w:rsidRDefault="00F86D85" w:rsidP="00F11D27">
      <w:pPr>
        <w:shd w:val="clear" w:color="auto" w:fill="FFFFFF"/>
        <w:spacing w:line="360" w:lineRule="auto"/>
        <w:ind w:left="709"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EF75F9">
        <w:rPr>
          <w:rFonts w:ascii="Arial" w:hAnsi="Arial" w:cs="Arial"/>
          <w:sz w:val="22"/>
          <w:szCs w:val="22"/>
          <w:lang w:val="en-GB"/>
        </w:rPr>
        <w:t xml:space="preserve">1. </w:t>
      </w:r>
      <w:r w:rsidR="00037314" w:rsidRPr="00EF75F9">
        <w:rPr>
          <w:rFonts w:ascii="Arial" w:hAnsi="Arial" w:cs="Arial"/>
          <w:sz w:val="22"/>
          <w:szCs w:val="22"/>
          <w:lang w:val="en-GB"/>
        </w:rPr>
        <w:t xml:space="preserve">The building of </w:t>
      </w:r>
      <w:r w:rsidR="00F245B1" w:rsidRPr="00EF75F9">
        <w:rPr>
          <w:rFonts w:ascii="Arial" w:hAnsi="Arial" w:cs="Arial"/>
          <w:sz w:val="22"/>
          <w:szCs w:val="22"/>
          <w:lang w:val="en-GB"/>
        </w:rPr>
        <w:t xml:space="preserve">a framework that takes into account the definition of success at the </w:t>
      </w:r>
      <w:r w:rsidR="004B22C3" w:rsidRPr="00EF75F9">
        <w:rPr>
          <w:rFonts w:ascii="Arial" w:hAnsi="Arial" w:cs="Arial"/>
          <w:sz w:val="22"/>
          <w:szCs w:val="22"/>
          <w:lang w:val="en-GB"/>
        </w:rPr>
        <w:t>school cluster</w:t>
      </w:r>
      <w:r w:rsidR="00E057F8" w:rsidRPr="00EF75F9">
        <w:rPr>
          <w:rFonts w:ascii="Arial" w:hAnsi="Arial" w:cs="Arial"/>
          <w:sz w:val="22"/>
          <w:szCs w:val="22"/>
          <w:lang w:val="en-GB"/>
        </w:rPr>
        <w:t xml:space="preserve">; </w:t>
      </w:r>
    </w:p>
    <w:tbl>
      <w:tblPr>
        <w:tblStyle w:val="Tabelacomgrelha1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1691"/>
        <w:gridCol w:w="4715"/>
        <w:gridCol w:w="3932"/>
        <w:gridCol w:w="1666"/>
      </w:tblGrid>
      <w:tr w:rsidR="00E057F8" w:rsidRPr="00EF75F9" w14:paraId="57E4C69A" w14:textId="77777777" w:rsidTr="00D17181">
        <w:trPr>
          <w:trHeight w:val="273"/>
          <w:jc w:val="center"/>
        </w:trPr>
        <w:tc>
          <w:tcPr>
            <w:tcW w:w="13994" w:type="dxa"/>
            <w:gridSpan w:val="5"/>
          </w:tcPr>
          <w:p w14:paraId="0B47ADD7" w14:textId="77777777" w:rsidR="00E057F8" w:rsidRPr="00EF75F9" w:rsidRDefault="00F245B1" w:rsidP="00E057F8">
            <w:pPr>
              <w:spacing w:after="200" w:line="276" w:lineRule="auto"/>
              <w:jc w:val="center"/>
              <w:rPr>
                <w:rFonts w:ascii="Arial" w:eastAsia="Century Gothic" w:hAnsi="Arial" w:cs="Arial"/>
                <w:b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b/>
                <w:lang w:val="en-GB" w:eastAsia="en-US"/>
              </w:rPr>
              <w:t>FRAMEWORK</w:t>
            </w:r>
          </w:p>
        </w:tc>
      </w:tr>
      <w:tr w:rsidR="00E057F8" w:rsidRPr="00EF75F9" w14:paraId="3382DD66" w14:textId="77777777" w:rsidTr="00F11D27">
        <w:trPr>
          <w:trHeight w:val="462"/>
          <w:jc w:val="center"/>
        </w:trPr>
        <w:tc>
          <w:tcPr>
            <w:tcW w:w="1990" w:type="dxa"/>
            <w:vMerge w:val="restart"/>
          </w:tcPr>
          <w:p w14:paraId="7EA3F64E" w14:textId="77777777" w:rsidR="00E057F8" w:rsidRPr="00EF75F9" w:rsidRDefault="00E057F8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32D11E8" w14:textId="77777777" w:rsidR="00E057F8" w:rsidRPr="00EF75F9" w:rsidRDefault="00E057F8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5477661" w14:textId="77777777" w:rsidR="00E057F8" w:rsidRPr="00EF75F9" w:rsidRDefault="00F245B1" w:rsidP="00E057F8">
            <w:pPr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Dimension</w:t>
            </w:r>
            <w:r w:rsidR="00E057F8"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691" w:type="dxa"/>
            <w:vMerge w:val="restart"/>
          </w:tcPr>
          <w:p w14:paraId="51954D4A" w14:textId="77777777" w:rsidR="00E057F8" w:rsidRPr="00EF75F9" w:rsidRDefault="00E057F8" w:rsidP="00E057F8">
            <w:pPr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C2F901" w14:textId="77777777" w:rsidR="00E057F8" w:rsidRPr="00EF75F9" w:rsidRDefault="00E057F8" w:rsidP="00E057F8">
            <w:pPr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28F05D3" w14:textId="77777777" w:rsidR="00E057F8" w:rsidRPr="00EF75F9" w:rsidRDefault="00F245B1" w:rsidP="00E057F8">
            <w:pPr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Built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4A2D01" w14:textId="77777777" w:rsidR="00E057F8" w:rsidRPr="00EF75F9" w:rsidRDefault="00F245B1" w:rsidP="00F11D27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Area to evaluate</w:t>
            </w:r>
            <w:r w:rsidR="00E057F8"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9684AF9" w14:textId="77777777" w:rsidR="00E057F8" w:rsidRPr="00EF75F9" w:rsidRDefault="00E057F8" w:rsidP="00E057F8">
            <w:pPr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5F9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 Result</w:t>
            </w:r>
            <w:r w:rsidR="00F245B1" w:rsidRPr="00EF75F9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  <w:tc>
          <w:tcPr>
            <w:tcW w:w="1666" w:type="dxa"/>
            <w:vMerge w:val="restart"/>
          </w:tcPr>
          <w:p w14:paraId="13B8CC50" w14:textId="77777777" w:rsidR="00E057F8" w:rsidRPr="00EF75F9" w:rsidRDefault="00F245B1" w:rsidP="00E057F8">
            <w:pPr>
              <w:spacing w:after="200" w:line="276" w:lineRule="auto"/>
              <w:rPr>
                <w:rFonts w:ascii="Arial" w:eastAsia="Century Gothic" w:hAnsi="Arial" w:cs="Arial"/>
                <w:b/>
                <w:sz w:val="20"/>
                <w:szCs w:val="20"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b/>
                <w:sz w:val="20"/>
                <w:szCs w:val="20"/>
                <w:lang w:val="en-GB" w:eastAsia="en-US"/>
              </w:rPr>
              <w:t>Evaluation timeline</w:t>
            </w:r>
          </w:p>
        </w:tc>
      </w:tr>
      <w:tr w:rsidR="00E057F8" w:rsidRPr="00EF75F9" w14:paraId="62B80479" w14:textId="77777777" w:rsidTr="00D17181">
        <w:trPr>
          <w:trHeight w:val="501"/>
          <w:jc w:val="center"/>
        </w:trPr>
        <w:tc>
          <w:tcPr>
            <w:tcW w:w="1990" w:type="dxa"/>
            <w:vMerge/>
            <w:tcBorders>
              <w:bottom w:val="single" w:sz="4" w:space="0" w:color="auto"/>
            </w:tcBorders>
          </w:tcPr>
          <w:p w14:paraId="3E745EB5" w14:textId="77777777" w:rsidR="00E057F8" w:rsidRPr="00EF75F9" w:rsidRDefault="00E057F8" w:rsidP="00E057F8">
            <w:pPr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1691" w:type="dxa"/>
            <w:vMerge/>
            <w:tcBorders>
              <w:bottom w:val="nil"/>
            </w:tcBorders>
          </w:tcPr>
          <w:p w14:paraId="116218A1" w14:textId="77777777" w:rsidR="00E057F8" w:rsidRPr="00EF75F9" w:rsidRDefault="00E057F8" w:rsidP="00E057F8">
            <w:pPr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87EA" w14:textId="77777777" w:rsidR="00E057F8" w:rsidRPr="00EF75F9" w:rsidRDefault="00F245B1" w:rsidP="00E057F8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Subarea</w:t>
            </w:r>
            <w:r w:rsidR="00E057F8"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61B62" w14:textId="28239AA4" w:rsidR="00E057F8" w:rsidRPr="00EF75F9" w:rsidRDefault="00F245B1" w:rsidP="00E057F8">
            <w:pPr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</w:rPr>
              <w:t>5.1. Academic s</w:t>
            </w:r>
            <w:r w:rsidR="00E057F8" w:rsidRPr="00EF75F9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</w:rPr>
              <w:t>u</w:t>
            </w:r>
            <w:r w:rsidR="00B2535F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</w:rPr>
              <w:t>c</w:t>
            </w:r>
            <w:r w:rsidR="00E057F8" w:rsidRPr="00EF75F9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</w:rPr>
              <w:t>ces</w:t>
            </w:r>
            <w:r w:rsidRPr="00EF75F9">
              <w:rPr>
                <w:rFonts w:ascii="Arial" w:eastAsia="Times New Roman" w:hAnsi="Arial" w:cs="Arial"/>
                <w:b/>
                <w:i/>
                <w:iCs/>
                <w:sz w:val="22"/>
                <w:szCs w:val="22"/>
                <w:lang w:val="en-GB" w:eastAsia="pt-PT"/>
              </w:rPr>
              <w:t>s</w:t>
            </w: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14:paraId="4D5576B6" w14:textId="77777777" w:rsidR="00E057F8" w:rsidRPr="00EF75F9" w:rsidRDefault="00E057F8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</w:tc>
      </w:tr>
      <w:tr w:rsidR="00CB3570" w:rsidRPr="00EF75F9" w14:paraId="6BFFAE6B" w14:textId="77777777" w:rsidTr="00D17181">
        <w:trPr>
          <w:trHeight w:val="1196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</w:tcBorders>
          </w:tcPr>
          <w:p w14:paraId="4890866D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6B81CFB9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6E0ADB06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318167E5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4C7B99A0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3CC17C5F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65CD1BE8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08B4737E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029045ED" w14:textId="6ADADA7B" w:rsidR="00CB3570" w:rsidRPr="00F11D27" w:rsidRDefault="004B22C3" w:rsidP="00E057F8">
            <w:pPr>
              <w:spacing w:after="200" w:line="276" w:lineRule="auto"/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</w:pPr>
            <w:r w:rsidRPr="00F11D27"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  <w:t>Referential</w:t>
            </w:r>
          </w:p>
        </w:tc>
        <w:tc>
          <w:tcPr>
            <w:tcW w:w="1691" w:type="dxa"/>
          </w:tcPr>
          <w:p w14:paraId="73D73670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22506060" w14:textId="77777777" w:rsidR="00CB3570" w:rsidRPr="00F11D27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</w:pPr>
          </w:p>
          <w:p w14:paraId="008E0CD5" w14:textId="37026F22" w:rsidR="00CB3570" w:rsidRPr="00EF75F9" w:rsidRDefault="00B2535F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  <w:r w:rsidRPr="00F11D27"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  <w:t>Ex</w:t>
            </w:r>
            <w:r w:rsidR="00F245B1" w:rsidRPr="00F11D27"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  <w:t>ternal</w:t>
            </w:r>
          </w:p>
        </w:tc>
        <w:tc>
          <w:tcPr>
            <w:tcW w:w="8647" w:type="dxa"/>
            <w:gridSpan w:val="2"/>
          </w:tcPr>
          <w:p w14:paraId="648F0591" w14:textId="77777777" w:rsidR="00CB3570" w:rsidRPr="00EF75F9" w:rsidRDefault="00F245B1" w:rsidP="00E057F8">
            <w:pPr>
              <w:spacing w:after="200" w:line="276" w:lineRule="auto"/>
              <w:rPr>
                <w:rFonts w:ascii="Arial" w:eastAsia="Century Gothic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b/>
                <w:bCs/>
                <w:sz w:val="22"/>
                <w:szCs w:val="22"/>
                <w:lang w:val="en-GB" w:eastAsia="en-US"/>
              </w:rPr>
              <w:t>C</w:t>
            </w:r>
            <w:r w:rsidR="00CB3570" w:rsidRPr="00EF75F9">
              <w:rPr>
                <w:rFonts w:ascii="Arial" w:eastAsia="Century Gothic" w:hAnsi="Arial" w:cs="Arial"/>
                <w:b/>
                <w:bCs/>
                <w:sz w:val="22"/>
                <w:szCs w:val="22"/>
                <w:lang w:val="en-GB" w:eastAsia="en-US"/>
              </w:rPr>
              <w:t>entral</w:t>
            </w:r>
            <w:r w:rsidRPr="00EF75F9">
              <w:rPr>
                <w:rFonts w:ascii="Arial" w:eastAsia="Century Gothic" w:hAnsi="Arial" w:cs="Arial"/>
                <w:b/>
                <w:bCs/>
                <w:sz w:val="22"/>
                <w:szCs w:val="22"/>
                <w:lang w:val="en-GB" w:eastAsia="en-US"/>
              </w:rPr>
              <w:t xml:space="preserve"> Administration</w:t>
            </w:r>
          </w:p>
          <w:p w14:paraId="5DD582BD" w14:textId="77777777" w:rsidR="00CB3570" w:rsidRPr="00EF75F9" w:rsidRDefault="00CB3570" w:rsidP="00E057F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(</w:t>
            </w:r>
            <w:r w:rsidR="00F245B1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Norm published about evaluation on pupils learning)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):</w:t>
            </w:r>
          </w:p>
          <w:p w14:paraId="630563A6" w14:textId="77777777" w:rsidR="00CB3570" w:rsidRPr="00EF75F9" w:rsidRDefault="00F245B1" w:rsidP="00E057F8">
            <w:pPr>
              <w:spacing w:after="200" w:line="276" w:lineRule="auto"/>
              <w:rPr>
                <w:rFonts w:ascii="Arial" w:eastAsia="Century Gothic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Law</w:t>
            </w:r>
            <w:r w:rsidR="00EF7D8F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 nº 31/2002 </w:t>
            </w:r>
            <w:r w:rsidR="00EF7D8F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Normative Dispatch</w:t>
            </w:r>
            <w:r w:rsidR="004B22C3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 n.º 24A/2012</w:t>
            </w:r>
            <w:r w:rsidR="004B22C3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Ordonnance nº 243/2012 (Secondary Education)</w:t>
            </w:r>
            <w:r w:rsidR="004B22C3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 xml:space="preserve">Law </w:t>
            </w:r>
            <w:r w:rsidR="00CB3570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 n.º 46/86 </w:t>
            </w:r>
            <w:r w:rsidR="004B22C3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from October 14th</w:t>
            </w:r>
            <w:r w:rsidR="004B22C3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Decree n.º 139/2012</w:t>
            </w:r>
            <w:r w:rsidR="004B22C3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Law</w:t>
            </w:r>
            <w:r w:rsidR="00CB3570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 nº 51/ 2012</w:t>
            </w:r>
          </w:p>
          <w:p w14:paraId="60CCD316" w14:textId="77777777" w:rsidR="00CB3570" w:rsidRPr="00EF75F9" w:rsidRDefault="004B22C3" w:rsidP="00E057F8">
            <w:pPr>
              <w:spacing w:after="200" w:line="276" w:lineRule="auto"/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  <w:t>Research</w:t>
            </w:r>
          </w:p>
          <w:p w14:paraId="2CCACF88" w14:textId="77777777" w:rsidR="00CB3570" w:rsidRPr="00EF75F9" w:rsidRDefault="00CB3570" w:rsidP="00E057F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lastRenderedPageBreak/>
              <w:t>(</w:t>
            </w:r>
            <w:r w:rsidR="004B22C3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Published research Works about student assessment:</w:t>
            </w:r>
          </w:p>
          <w:p w14:paraId="7B885464" w14:textId="77777777" w:rsidR="00CB3570" w:rsidRPr="00EF75F9" w:rsidRDefault="00CB3570" w:rsidP="00E057F8">
            <w:pPr>
              <w:rPr>
                <w:rFonts w:ascii="Arial" w:eastAsia="Century Gothic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Lima, Jorge Ávila, 2008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Bolivar, 2003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Scheerens,2004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Thurler,1998</w:t>
            </w:r>
          </w:p>
        </w:tc>
        <w:tc>
          <w:tcPr>
            <w:tcW w:w="1666" w:type="dxa"/>
            <w:vMerge w:val="restart"/>
          </w:tcPr>
          <w:p w14:paraId="381A852D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6C73EB22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361064BF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2DF5D4B8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4AEE6ECF" w14:textId="77777777" w:rsidR="00CB3570" w:rsidRPr="00EF75F9" w:rsidRDefault="00CB3570" w:rsidP="00E057F8">
            <w:pPr>
              <w:spacing w:after="200" w:line="276" w:lineRule="auto"/>
              <w:jc w:val="center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381DDE7B" w14:textId="77777777" w:rsidR="00CB3570" w:rsidRPr="00EF75F9" w:rsidRDefault="004B22C3" w:rsidP="00E057F8">
            <w:pPr>
              <w:spacing w:after="200"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sz w:val="20"/>
                <w:szCs w:val="20"/>
                <w:lang w:val="en-GB" w:eastAsia="en-US"/>
              </w:rPr>
              <w:t>SCHOOL YEAR</w:t>
            </w:r>
          </w:p>
          <w:p w14:paraId="6CECE202" w14:textId="77777777" w:rsidR="00CB3570" w:rsidRPr="00EF75F9" w:rsidRDefault="00CB3570" w:rsidP="00E057F8">
            <w:pPr>
              <w:spacing w:after="200"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  <w:lang w:val="en-GB" w:eastAsia="en-US"/>
              </w:rPr>
            </w:pPr>
          </w:p>
          <w:p w14:paraId="56A751F3" w14:textId="77777777" w:rsidR="00CB3570" w:rsidRPr="00EF75F9" w:rsidRDefault="00CB3570" w:rsidP="00E057F8">
            <w:pPr>
              <w:spacing w:after="200" w:line="276" w:lineRule="auto"/>
              <w:jc w:val="center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sz w:val="20"/>
                <w:szCs w:val="20"/>
                <w:lang w:val="en-GB" w:eastAsia="en-US"/>
              </w:rPr>
              <w:t>2016/2017</w:t>
            </w:r>
          </w:p>
        </w:tc>
      </w:tr>
      <w:tr w:rsidR="00CB3570" w:rsidRPr="00EF75F9" w14:paraId="55D487C0" w14:textId="77777777" w:rsidTr="00D17181">
        <w:trPr>
          <w:trHeight w:val="1270"/>
          <w:jc w:val="center"/>
        </w:trPr>
        <w:tc>
          <w:tcPr>
            <w:tcW w:w="1990" w:type="dxa"/>
            <w:vMerge/>
            <w:tcBorders>
              <w:bottom w:val="single" w:sz="4" w:space="0" w:color="auto"/>
            </w:tcBorders>
          </w:tcPr>
          <w:p w14:paraId="4AD3223A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0D4DF84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  <w:p w14:paraId="218F99A1" w14:textId="77777777" w:rsidR="00CB3570" w:rsidRPr="00F11D27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</w:pPr>
            <w:r w:rsidRPr="00F11D27"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  <w:t>Intern</w:t>
            </w:r>
            <w:r w:rsidR="004B22C3" w:rsidRPr="00F11D27">
              <w:rPr>
                <w:rFonts w:ascii="Arial" w:eastAsia="Century Gothic" w:hAnsi="Arial" w:cs="Arial"/>
                <w:b/>
                <w:sz w:val="22"/>
                <w:szCs w:val="22"/>
                <w:lang w:val="en-GB" w:eastAsia="en-US"/>
              </w:rPr>
              <w:t>al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77C02D8C" w14:textId="77777777" w:rsidR="00CB3570" w:rsidRPr="00EF75F9" w:rsidRDefault="004B22C3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  <w:t>Educational Project of the school cluster</w:t>
            </w:r>
          </w:p>
          <w:p w14:paraId="22A05D5B" w14:textId="77777777" w:rsidR="00CB3570" w:rsidRPr="00EF75F9" w:rsidRDefault="004B22C3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  <w:r w:rsidRPr="00EF75F9"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  <w:t>Education inspection report on external evaluation</w:t>
            </w: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14:paraId="7D2A2B85" w14:textId="77777777" w:rsidR="00CB3570" w:rsidRPr="00EF75F9" w:rsidRDefault="00CB3570" w:rsidP="00E057F8">
            <w:pPr>
              <w:spacing w:after="200" w:line="276" w:lineRule="auto"/>
              <w:rPr>
                <w:rFonts w:ascii="Arial" w:eastAsia="Century Gothic" w:hAnsi="Arial" w:cs="Arial"/>
                <w:sz w:val="22"/>
                <w:szCs w:val="22"/>
                <w:lang w:val="en-GB" w:eastAsia="en-US"/>
              </w:rPr>
            </w:pPr>
          </w:p>
        </w:tc>
      </w:tr>
      <w:tr w:rsidR="00CB3570" w:rsidRPr="00EF75F9" w14:paraId="26F63414" w14:textId="77777777" w:rsidTr="00D17181">
        <w:trPr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68A318" w14:textId="77777777" w:rsidR="00E057F8" w:rsidRPr="00EF75F9" w:rsidRDefault="00997409" w:rsidP="009974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Data</w:t>
            </w:r>
            <w:r w:rsidR="00E057F8"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45C176" w14:textId="77777777" w:rsidR="00E057F8" w:rsidRPr="00EF75F9" w:rsidRDefault="004B22C3" w:rsidP="00E057F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Criteria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1B9B5E" w14:textId="77777777" w:rsidR="00E057F8" w:rsidRPr="00EF75F9" w:rsidRDefault="004B22C3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 xml:space="preserve">   Indicators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243446" w14:textId="77777777" w:rsidR="00E057F8" w:rsidRPr="00EF75F9" w:rsidRDefault="004B22C3" w:rsidP="00E057F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Leads</w:t>
            </w:r>
          </w:p>
        </w:tc>
      </w:tr>
      <w:tr w:rsidR="00CB3570" w:rsidRPr="00EF75F9" w14:paraId="1AB1C786" w14:textId="77777777" w:rsidTr="00D17181">
        <w:trPr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38A427" w14:textId="77777777" w:rsidR="00E057F8" w:rsidRPr="00EF75F9" w:rsidRDefault="00E057F8" w:rsidP="00E057F8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  <w:p w14:paraId="6DFE518B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  <w:p w14:paraId="508B387B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  <w:p w14:paraId="0802B19C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  <w:p w14:paraId="6A6468DD" w14:textId="77777777" w:rsidR="00E057F8" w:rsidRPr="00EF75F9" w:rsidRDefault="00997409" w:rsidP="00997409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Basic Education</w:t>
            </w:r>
          </w:p>
          <w:p w14:paraId="2917D328" w14:textId="77777777" w:rsidR="00E057F8" w:rsidRPr="00EF75F9" w:rsidRDefault="00E057F8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7C74" w14:textId="77777777" w:rsidR="00E057F8" w:rsidRPr="00EF75F9" w:rsidRDefault="00997409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Internal efficiency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163B" w14:textId="77777777" w:rsidR="00C14CB7" w:rsidRPr="00EF75F9" w:rsidRDefault="003D12B3" w:rsidP="00C14CB7">
            <w:pPr>
              <w:pStyle w:val="PargrafodaLista"/>
              <w:numPr>
                <w:ilvl w:val="0"/>
                <w:numId w:val="19"/>
              </w:numPr>
              <w:spacing w:after="240"/>
              <w:rPr>
                <w:rFonts w:ascii="Arial" w:eastAsia="Times New Roman" w:hAnsi="Arial" w:cs="Arial"/>
                <w:i/>
                <w:iCs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>The success rates in the different subjects</w:t>
            </w:r>
            <w:r w:rsidR="00C14CB7"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 xml:space="preserve"> are</w:t>
            </w:r>
            <w:r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 xml:space="preserve"> greater than or equal </w:t>
            </w:r>
            <w:r w:rsidR="00C14CB7"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>to those obtained in the previous school year;</w:t>
            </w:r>
          </w:p>
          <w:p w14:paraId="51D48FBA" w14:textId="77777777" w:rsidR="000F3DA5" w:rsidRPr="00EF75F9" w:rsidRDefault="003B7156" w:rsidP="000F3DA5">
            <w:pPr>
              <w:pStyle w:val="PargrafodaLista"/>
              <w:numPr>
                <w:ilvl w:val="0"/>
                <w:numId w:val="19"/>
              </w:numPr>
              <w:spacing w:after="240"/>
              <w:rPr>
                <w:rFonts w:ascii="Arial" w:eastAsia="Times New Roman" w:hAnsi="Arial" w:cs="Arial"/>
                <w:i/>
                <w:iCs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 xml:space="preserve">The passing/conclusion rates of the final school years are in accordance with the defined </w:t>
            </w:r>
            <w:r w:rsidR="000F3DA5"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>goals (4</w:t>
            </w:r>
            <w:r w:rsidR="000F3DA5" w:rsidRPr="00EF75F9">
              <w:rPr>
                <w:rFonts w:ascii="Arial" w:eastAsia="Times New Roman" w:hAnsi="Arial" w:cs="Arial"/>
                <w:i/>
                <w:iCs/>
                <w:vertAlign w:val="superscript"/>
                <w:lang w:val="en-GB" w:eastAsia="pt-PT"/>
              </w:rPr>
              <w:t>th</w:t>
            </w:r>
            <w:r w:rsidR="000F3DA5"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>, 6</w:t>
            </w:r>
            <w:r w:rsidR="000F3DA5" w:rsidRPr="00EF75F9">
              <w:rPr>
                <w:rFonts w:ascii="Arial" w:eastAsia="Times New Roman" w:hAnsi="Arial" w:cs="Arial"/>
                <w:i/>
                <w:iCs/>
                <w:vertAlign w:val="superscript"/>
                <w:lang w:val="en-GB" w:eastAsia="pt-PT"/>
              </w:rPr>
              <w:t>th</w:t>
            </w:r>
            <w:r w:rsidR="000F3DA5"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 xml:space="preserve">  and 9</w:t>
            </w:r>
            <w:r w:rsidR="000F3DA5" w:rsidRPr="00EF75F9">
              <w:rPr>
                <w:rFonts w:ascii="Arial" w:eastAsia="Times New Roman" w:hAnsi="Arial" w:cs="Arial"/>
                <w:i/>
                <w:iCs/>
                <w:vertAlign w:val="superscript"/>
                <w:lang w:val="en-GB" w:eastAsia="pt-PT"/>
              </w:rPr>
              <w:t>th</w:t>
            </w:r>
            <w:r w:rsidR="000F3DA5"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 xml:space="preserve"> grades);</w:t>
            </w:r>
          </w:p>
          <w:p w14:paraId="629AB88C" w14:textId="77777777" w:rsidR="00E057F8" w:rsidRPr="00EF75F9" w:rsidRDefault="000F3DA5" w:rsidP="000F3DA5">
            <w:pPr>
              <w:pStyle w:val="PargrafodaLista"/>
              <w:numPr>
                <w:ilvl w:val="0"/>
                <w:numId w:val="19"/>
              </w:numPr>
              <w:spacing w:after="240"/>
              <w:rPr>
                <w:rFonts w:ascii="Arial" w:eastAsia="Times New Roman" w:hAnsi="Arial" w:cs="Arial"/>
                <w:i/>
                <w:iCs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lang w:val="en-GB" w:eastAsia="pt-PT"/>
              </w:rPr>
              <w:t>The passing/conclusion rates by school year are above those obtained in the last school years (remaining school years).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A6B4DD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</w:p>
          <w:p w14:paraId="6A75729A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</w:p>
          <w:p w14:paraId="36BA6280" w14:textId="77777777" w:rsidR="00E057F8" w:rsidRPr="00EF75F9" w:rsidRDefault="00E057F8" w:rsidP="00CB3570">
            <w:pPr>
              <w:spacing w:after="200" w:line="276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</w:p>
          <w:p w14:paraId="27619933" w14:textId="77777777" w:rsidR="00E057F8" w:rsidRPr="00EF75F9" w:rsidRDefault="003D12B3" w:rsidP="00E057F8">
            <w:pPr>
              <w:spacing w:after="200" w:line="276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Grade reports</w:t>
            </w:r>
            <w:r w:rsidR="00E057F8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;</w:t>
            </w:r>
          </w:p>
          <w:p w14:paraId="663F050E" w14:textId="77777777" w:rsidR="00E057F8" w:rsidRPr="00EF75F9" w:rsidRDefault="003D12B3" w:rsidP="00E057F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Central administration reports</w:t>
            </w:r>
          </w:p>
        </w:tc>
      </w:tr>
      <w:tr w:rsidR="00CB3570" w:rsidRPr="00EF75F9" w14:paraId="0B12EF01" w14:textId="77777777" w:rsidTr="00D17181">
        <w:trPr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402690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35B6" w14:textId="77777777" w:rsidR="00E057F8" w:rsidRPr="00EF75F9" w:rsidRDefault="00997409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External efficiency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40F6" w14:textId="60F813FC" w:rsidR="00E057F8" w:rsidRPr="00EF75F9" w:rsidRDefault="00E057F8" w:rsidP="000F3DA5">
            <w:pPr>
              <w:spacing w:after="240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1. </w:t>
            </w:r>
            <w:r w:rsidR="000F3DA5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The succes</w:t>
            </w:r>
            <w:r w:rsidR="00EF75F9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s rates obtained in the external</w:t>
            </w:r>
            <w:r w:rsidR="000F3DA5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 evaluation process (national exams) are in accordance with the defined goals;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;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>2.</w:t>
            </w:r>
            <w:r w:rsidR="000F3DA5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 . The succes</w:t>
            </w:r>
            <w:r w:rsidR="00B2535F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s rates obtained in the external</w:t>
            </w:r>
            <w:r w:rsidR="000F3DA5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 evaluation process (national exams) are above national average results.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91FFE6" w14:textId="77777777" w:rsidR="00E057F8" w:rsidRPr="00EF75F9" w:rsidRDefault="00E057F8" w:rsidP="00E057F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</w:tr>
      <w:tr w:rsidR="00CB3570" w:rsidRPr="00EF75F9" w14:paraId="012E3B32" w14:textId="77777777" w:rsidTr="00D17181">
        <w:trPr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67A1AC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5B0D" w14:textId="6DCC800F" w:rsidR="00E057F8" w:rsidRPr="00EF75F9" w:rsidRDefault="00B2535F" w:rsidP="00B2535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Internal quality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C576" w14:textId="77777777" w:rsidR="00E057F8" w:rsidRPr="00EF75F9" w:rsidRDefault="00E057F8" w:rsidP="000F3DA5">
            <w:pPr>
              <w:spacing w:after="240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1. </w:t>
            </w:r>
            <w:r w:rsidR="000F3DA5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The percentage of the number of students without any grade lower than 3 is higher than the percentage obtained in the previous year.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;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 xml:space="preserve">2. </w:t>
            </w:r>
            <w:r w:rsidR="000F3DA5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The grade average of the different subjects is above the average registered last year.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8BFB22" w14:textId="77777777" w:rsidR="00E057F8" w:rsidRPr="00EF75F9" w:rsidRDefault="00E057F8" w:rsidP="00E057F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</w:tr>
      <w:tr w:rsidR="00CB3570" w:rsidRPr="00EF75F9" w14:paraId="5C7D7ACD" w14:textId="77777777" w:rsidTr="00D17181">
        <w:trPr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A19998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5169" w14:textId="77777777" w:rsidR="00E057F8" w:rsidRPr="00EF75F9" w:rsidRDefault="000F3DA5" w:rsidP="00E057F8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 xml:space="preserve">External quality </w:t>
            </w:r>
          </w:p>
          <w:p w14:paraId="05D5EB63" w14:textId="77777777" w:rsidR="00E057F8" w:rsidRPr="00EF75F9" w:rsidRDefault="00E057F8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D7F4" w14:textId="4955640C" w:rsidR="00E057F8" w:rsidRPr="00EF75F9" w:rsidRDefault="00E057F8" w:rsidP="00EF75F9">
            <w:pPr>
              <w:spacing w:after="240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1. </w:t>
            </w:r>
            <w:r w:rsidR="00A00E77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The </w:t>
            </w:r>
            <w:r w:rsidR="001646F1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average grade of the national exams are above national average.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;</w:t>
            </w: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br/>
              <w:t xml:space="preserve">2. </w:t>
            </w:r>
            <w:r w:rsidR="00EF75F9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The average grades obtained by students in the external evaluation are above the ones obtained the previous year.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70A52C" w14:textId="77777777" w:rsidR="00E057F8" w:rsidRPr="00EF75F9" w:rsidRDefault="00E057F8" w:rsidP="00E057F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</w:tr>
      <w:tr w:rsidR="00CB3570" w:rsidRPr="00EF75F9" w14:paraId="50410868" w14:textId="77777777" w:rsidTr="00D17181">
        <w:trPr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DCE0F0" w14:textId="77777777" w:rsidR="00E057F8" w:rsidRPr="00EF75F9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488E" w14:textId="77777777" w:rsidR="00E057F8" w:rsidRPr="00EF75F9" w:rsidRDefault="000F3DA5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Coherence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429C" w14:textId="402CB696" w:rsidR="00E057F8" w:rsidRPr="00EF75F9" w:rsidRDefault="00E057F8" w:rsidP="00EF75F9">
            <w:pPr>
              <w:spacing w:after="240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>1.</w:t>
            </w:r>
            <w:r w:rsidR="00EF75F9" w:rsidRPr="00EF75F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The  grade average of the internal evaluation and the external evaluation (subjects with compulsory national exam) have an integrated difference of a 0.4 (level) interval.  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621809" w14:textId="77777777" w:rsidR="00E057F8" w:rsidRPr="00EF75F9" w:rsidRDefault="00E057F8" w:rsidP="00E057F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</w:tr>
      <w:tr w:rsidR="00CB3570" w:rsidRPr="00B86B73" w14:paraId="53565E58" w14:textId="77777777" w:rsidTr="00D17181">
        <w:trPr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EC5046" w14:textId="77777777" w:rsidR="00E057F8" w:rsidRPr="00B86B73" w:rsidRDefault="00E057F8" w:rsidP="00E057F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8D1C" w14:textId="0DF90DF9" w:rsidR="00E057F8" w:rsidRPr="00B86B73" w:rsidRDefault="00B86B73" w:rsidP="00E057F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  <w:r w:rsidRPr="00B86B7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  <w:t>Fulfilment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326E" w14:textId="7A40AEAF" w:rsidR="00E057F8" w:rsidRPr="00B86B73" w:rsidRDefault="00E057F8" w:rsidP="00EF75F9">
            <w:pPr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</w:pPr>
            <w:r w:rsidRPr="00B86B7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1. </w:t>
            </w:r>
            <w:r w:rsidR="00EF75F9" w:rsidRPr="00B86B7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GB" w:eastAsia="pt-PT"/>
              </w:rPr>
              <w:t xml:space="preserve">The number of assessed students by subject is the same as the number of students enrolled by subject. 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1575D5" w14:textId="77777777" w:rsidR="00E057F8" w:rsidRPr="00B86B73" w:rsidRDefault="00E057F8" w:rsidP="00E057F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pt-PT"/>
              </w:rPr>
            </w:pPr>
          </w:p>
        </w:tc>
      </w:tr>
    </w:tbl>
    <w:p w14:paraId="7EA9818C" w14:textId="77777777" w:rsidR="007840C8" w:rsidRPr="00B86B73" w:rsidRDefault="007840C8" w:rsidP="00D1718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5656227F" w14:textId="3E09B4CC" w:rsidR="00884C15" w:rsidRPr="00F11D27" w:rsidRDefault="00EF75F9" w:rsidP="00F11D27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  <w:lang w:val="en-GB"/>
        </w:rPr>
      </w:pPr>
      <w:r w:rsidRPr="00B86B73">
        <w:rPr>
          <w:rFonts w:ascii="Arial" w:hAnsi="Arial" w:cs="Arial"/>
          <w:lang w:val="en-GB"/>
        </w:rPr>
        <w:lastRenderedPageBreak/>
        <w:t>At t</w:t>
      </w:r>
      <w:r w:rsidR="00E421AA" w:rsidRPr="00B86B73">
        <w:rPr>
          <w:rFonts w:ascii="Arial" w:hAnsi="Arial" w:cs="Arial"/>
          <w:lang w:val="en-GB"/>
        </w:rPr>
        <w:t>he end of each term, the school, the form teacher gathers all evaluation data and makes it available to the coordinator of the self evaluation team</w:t>
      </w:r>
      <w:r w:rsidR="00CB3570" w:rsidRPr="00B86B73">
        <w:rPr>
          <w:rFonts w:ascii="Arial" w:hAnsi="Arial" w:cs="Arial"/>
          <w:lang w:val="en-GB"/>
        </w:rPr>
        <w:t>;</w:t>
      </w:r>
    </w:p>
    <w:p w14:paraId="6EA2E61A" w14:textId="67841C97" w:rsidR="00884C15" w:rsidRPr="00F11D27" w:rsidRDefault="00E421AA" w:rsidP="00F11D27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  <w:lang w:val="en-GB"/>
        </w:rPr>
      </w:pPr>
      <w:r w:rsidRPr="00B86B73">
        <w:rPr>
          <w:rFonts w:ascii="Arial" w:hAnsi="Arial" w:cs="Arial"/>
          <w:lang w:val="en-GB"/>
        </w:rPr>
        <w:t xml:space="preserve">The </w:t>
      </w:r>
      <w:r w:rsidR="00B86B73" w:rsidRPr="00B86B73">
        <w:rPr>
          <w:rFonts w:ascii="Arial" w:hAnsi="Arial" w:cs="Arial"/>
          <w:lang w:val="en-GB"/>
        </w:rPr>
        <w:t>self-evaluation</w:t>
      </w:r>
      <w:r w:rsidRPr="00B86B73">
        <w:rPr>
          <w:rFonts w:ascii="Arial" w:hAnsi="Arial" w:cs="Arial"/>
          <w:lang w:val="en-GB"/>
        </w:rPr>
        <w:t xml:space="preserve"> team reorganiz</w:t>
      </w:r>
      <w:r w:rsidR="00B86B73">
        <w:rPr>
          <w:rFonts w:ascii="Arial" w:hAnsi="Arial" w:cs="Arial"/>
          <w:lang w:val="en-GB"/>
        </w:rPr>
        <w:t xml:space="preserve">es the data and sends it the </w:t>
      </w:r>
      <w:r w:rsidRPr="00B86B73">
        <w:rPr>
          <w:rFonts w:ascii="Arial" w:hAnsi="Arial" w:cs="Arial"/>
          <w:lang w:val="en-GB"/>
        </w:rPr>
        <w:t xml:space="preserve"> department coordinator;</w:t>
      </w:r>
    </w:p>
    <w:p w14:paraId="2EB65092" w14:textId="6C4D58A6" w:rsidR="00884C15" w:rsidRPr="00F11D27" w:rsidRDefault="00E421AA" w:rsidP="00F11D27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  <w:lang w:val="en-GB"/>
        </w:rPr>
      </w:pPr>
      <w:r w:rsidRPr="00B86B73">
        <w:rPr>
          <w:rFonts w:ascii="Arial" w:hAnsi="Arial" w:cs="Arial"/>
          <w:lang w:val="en-GB"/>
        </w:rPr>
        <w:t>Department coordinators resend the d</w:t>
      </w:r>
      <w:r w:rsidR="00B86B73">
        <w:rPr>
          <w:rFonts w:ascii="Arial" w:hAnsi="Arial" w:cs="Arial"/>
          <w:lang w:val="en-GB"/>
        </w:rPr>
        <w:t>ata to their several department</w:t>
      </w:r>
      <w:r w:rsidRPr="00B86B73">
        <w:rPr>
          <w:rFonts w:ascii="Arial" w:hAnsi="Arial" w:cs="Arial"/>
          <w:lang w:val="en-GB"/>
        </w:rPr>
        <w:t xml:space="preserve"> teachers</w:t>
      </w:r>
      <w:r w:rsidR="006A5F31" w:rsidRPr="00B86B73">
        <w:rPr>
          <w:rFonts w:ascii="Arial" w:hAnsi="Arial" w:cs="Arial"/>
          <w:lang w:val="en-GB"/>
        </w:rPr>
        <w:t xml:space="preserve"> </w:t>
      </w:r>
      <w:r w:rsidRPr="00B86B73">
        <w:rPr>
          <w:rFonts w:ascii="Arial" w:hAnsi="Arial" w:cs="Arial"/>
          <w:lang w:val="en-GB"/>
        </w:rPr>
        <w:t>in the following documents</w:t>
      </w:r>
      <w:r w:rsidR="00CB3570" w:rsidRPr="00B86B73">
        <w:rPr>
          <w:rFonts w:ascii="Arial" w:hAnsi="Arial" w:cs="Arial"/>
          <w:lang w:val="en-GB"/>
        </w:rPr>
        <w:t xml:space="preserve">: </w:t>
      </w:r>
      <w:r w:rsidR="00B86B73" w:rsidRPr="00B86B73">
        <w:rPr>
          <w:rFonts w:ascii="Arial" w:hAnsi="Arial" w:cs="Arial"/>
          <w:lang w:val="en-GB"/>
        </w:rPr>
        <w:t>Guide, organized data file</w:t>
      </w:r>
      <w:r w:rsidR="00A76DD9" w:rsidRPr="00B86B73">
        <w:rPr>
          <w:rFonts w:ascii="Arial" w:hAnsi="Arial" w:cs="Arial"/>
          <w:lang w:val="en-GB"/>
        </w:rPr>
        <w:t xml:space="preserve"> </w:t>
      </w:r>
      <w:r w:rsidR="00B86B73" w:rsidRPr="00B86B73">
        <w:rPr>
          <w:rFonts w:ascii="Arial" w:hAnsi="Arial" w:cs="Arial"/>
          <w:lang w:val="en-GB"/>
        </w:rPr>
        <w:t>(MS</w:t>
      </w:r>
      <w:r w:rsidR="00A76DD9" w:rsidRPr="00B86B73">
        <w:rPr>
          <w:rFonts w:ascii="Arial" w:hAnsi="Arial" w:cs="Arial"/>
          <w:lang w:val="en-GB"/>
        </w:rPr>
        <w:t>Excel</w:t>
      </w:r>
      <w:r w:rsidR="00B508CD" w:rsidRPr="00B86B73">
        <w:rPr>
          <w:rFonts w:ascii="Arial" w:hAnsi="Arial" w:cs="Arial"/>
          <w:lang w:val="en-GB"/>
        </w:rPr>
        <w:t xml:space="preserve"> 2007</w:t>
      </w:r>
      <w:r w:rsidR="00B86B73" w:rsidRPr="00B86B73">
        <w:rPr>
          <w:rFonts w:ascii="Arial" w:hAnsi="Arial" w:cs="Arial"/>
          <w:lang w:val="en-GB"/>
        </w:rPr>
        <w:t>) and grid corresponding to each of the taught levels;</w:t>
      </w:r>
    </w:p>
    <w:p w14:paraId="06150EEF" w14:textId="4623A24F" w:rsidR="00F72BAA" w:rsidRPr="00F11D27" w:rsidRDefault="00B86B73" w:rsidP="00F11D27">
      <w:pPr>
        <w:pStyle w:val="PargrafodaLista"/>
        <w:numPr>
          <w:ilvl w:val="0"/>
          <w:numId w:val="17"/>
        </w:numPr>
        <w:spacing w:line="360" w:lineRule="auto"/>
        <w:rPr>
          <w:lang w:val="en-US"/>
        </w:rPr>
      </w:pPr>
      <w:r w:rsidRPr="00B86B73">
        <w:rPr>
          <w:rFonts w:ascii="Arial" w:hAnsi="Arial" w:cs="Arial"/>
          <w:lang w:val="en-GB"/>
        </w:rPr>
        <w:t>The subject coordinators are respo</w:t>
      </w:r>
      <w:r>
        <w:rPr>
          <w:rFonts w:ascii="Arial" w:hAnsi="Arial" w:cs="Arial"/>
          <w:lang w:val="en-GB"/>
        </w:rPr>
        <w:t>nsible for promoting</w:t>
      </w:r>
      <w:r w:rsidRPr="00B86B73">
        <w:rPr>
          <w:rFonts w:ascii="Arial" w:hAnsi="Arial" w:cs="Arial"/>
          <w:lang w:val="en-GB"/>
        </w:rPr>
        <w:t xml:space="preserve"> this academic result evaluation with their fellow subject teachers. This evaluation focuses </w:t>
      </w:r>
      <w:r w:rsidRPr="000A33B7">
        <w:rPr>
          <w:rFonts w:ascii="Arial" w:hAnsi="Arial" w:cs="Arial"/>
          <w:lang w:val="en-US"/>
        </w:rPr>
        <w:t>on internal efficiency and internal quality (criteria pointed out in the Framework)</w:t>
      </w:r>
      <w:r w:rsidRPr="000A33B7">
        <w:rPr>
          <w:lang w:val="en-US"/>
        </w:rPr>
        <w:t xml:space="preserve"> 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"/>
        <w:gridCol w:w="2049"/>
        <w:gridCol w:w="675"/>
        <w:gridCol w:w="662"/>
        <w:gridCol w:w="621"/>
        <w:gridCol w:w="9"/>
        <w:gridCol w:w="646"/>
        <w:gridCol w:w="337"/>
        <w:gridCol w:w="850"/>
        <w:gridCol w:w="5475"/>
        <w:gridCol w:w="1877"/>
        <w:gridCol w:w="11"/>
        <w:gridCol w:w="8"/>
      </w:tblGrid>
      <w:tr w:rsidR="00D17181" w:rsidRPr="000A33B7" w14:paraId="61F75804" w14:textId="77777777" w:rsidTr="00D17181">
        <w:trPr>
          <w:gridAfter w:val="1"/>
          <w:wAfter w:w="8" w:type="dxa"/>
          <w:trHeight w:hRule="exact" w:val="359"/>
          <w:jc w:val="center"/>
        </w:trPr>
        <w:tc>
          <w:tcPr>
            <w:tcW w:w="5949" w:type="dxa"/>
            <w:gridSpan w:val="9"/>
            <w:vMerge w:val="restart"/>
            <w:shd w:val="clear" w:color="auto" w:fill="auto"/>
            <w:vAlign w:val="center"/>
          </w:tcPr>
          <w:p w14:paraId="755BF48D" w14:textId="57AEC934" w:rsidR="00D17181" w:rsidRPr="000A33B7" w:rsidRDefault="00B86B73" w:rsidP="00F11D27">
            <w:pPr>
              <w:jc w:val="right"/>
              <w:rPr>
                <w:rFonts w:ascii="Calibri" w:eastAsia="Calibri" w:hAnsi="Calibri" w:cs="Arial"/>
                <w:bCs/>
                <w:color w:val="1F497D" w:themeColor="text2"/>
                <w:sz w:val="22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bCs/>
                <w:lang w:val="en-US" w:eastAsia="en-US"/>
              </w:rPr>
              <w:t>Subject</w:t>
            </w:r>
            <w:r w:rsidR="00D17181" w:rsidRPr="000A33B7">
              <w:rPr>
                <w:rFonts w:ascii="Calibri" w:eastAsia="Calibri" w:hAnsi="Calibri" w:cs="Arial"/>
                <w:b/>
                <w:bCs/>
                <w:lang w:val="en-US" w:eastAsia="en-US"/>
              </w:rPr>
              <w:t>:</w:t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63C1CB1E" w14:textId="4AE29013" w:rsidR="00D17181" w:rsidRPr="000A33B7" w:rsidRDefault="00B86B73" w:rsidP="00CB3570">
            <w:pPr>
              <w:jc w:val="right"/>
              <w:rPr>
                <w:rFonts w:ascii="Calibri" w:eastAsia="Calibri" w:hAnsi="Calibri" w:cs="Arial"/>
                <w:b/>
                <w:bCs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bCs/>
                <w:lang w:val="en-US" w:eastAsia="en-US"/>
              </w:rPr>
              <w:t>Term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1C9A2E85" w14:textId="77777777" w:rsidR="00D17181" w:rsidRPr="000A33B7" w:rsidRDefault="00D17181" w:rsidP="00CB3570">
            <w:pPr>
              <w:rPr>
                <w:rFonts w:ascii="Calibri" w:eastAsia="Calibri" w:hAnsi="Calibri" w:cs="Arial"/>
                <w:bCs/>
                <w:color w:val="1F497D" w:themeColor="text2"/>
                <w:sz w:val="22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Cs/>
                <w:color w:val="1F497D" w:themeColor="text2"/>
                <w:sz w:val="22"/>
                <w:szCs w:val="22"/>
                <w:lang w:val="en-US" w:eastAsia="en-US"/>
              </w:rPr>
              <w:t>_</w:t>
            </w:r>
          </w:p>
        </w:tc>
      </w:tr>
      <w:tr w:rsidR="00D17181" w:rsidRPr="000A33B7" w14:paraId="66CE7B2C" w14:textId="77777777" w:rsidTr="00D17181">
        <w:trPr>
          <w:gridAfter w:val="2"/>
          <w:wAfter w:w="19" w:type="dxa"/>
          <w:trHeight w:hRule="exact" w:val="359"/>
          <w:jc w:val="center"/>
        </w:trPr>
        <w:tc>
          <w:tcPr>
            <w:tcW w:w="5949" w:type="dxa"/>
            <w:gridSpan w:val="9"/>
            <w:vMerge/>
            <w:shd w:val="clear" w:color="auto" w:fill="auto"/>
            <w:vAlign w:val="center"/>
          </w:tcPr>
          <w:p w14:paraId="68F87807" w14:textId="77777777" w:rsidR="00D17181" w:rsidRPr="000A33B7" w:rsidRDefault="00D17181" w:rsidP="00CB3570">
            <w:pPr>
              <w:jc w:val="right"/>
              <w:rPr>
                <w:rFonts w:ascii="Calibri" w:eastAsia="Calibri" w:hAnsi="Calibri" w:cs="Arial"/>
                <w:bCs/>
                <w:color w:val="1F497D" w:themeColor="text2"/>
                <w:sz w:val="22"/>
                <w:szCs w:val="22"/>
                <w:lang w:val="en-US" w:eastAsia="en-US"/>
              </w:rPr>
            </w:pPr>
          </w:p>
        </w:tc>
        <w:tc>
          <w:tcPr>
            <w:tcW w:w="8202" w:type="dxa"/>
            <w:gridSpan w:val="3"/>
            <w:shd w:val="clear" w:color="auto" w:fill="auto"/>
            <w:vAlign w:val="center"/>
          </w:tcPr>
          <w:p w14:paraId="1F2197EF" w14:textId="77777777" w:rsidR="00D17181" w:rsidRPr="000A33B7" w:rsidRDefault="00D17181" w:rsidP="00CB3570">
            <w:pPr>
              <w:rPr>
                <w:rFonts w:ascii="Calibri" w:eastAsia="Calibri" w:hAnsi="Calibri" w:cs="Arial"/>
                <w:bCs/>
                <w:color w:val="1F497D" w:themeColor="text2"/>
                <w:sz w:val="22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Cs/>
                <w:color w:val="1F497D" w:themeColor="text2"/>
                <w:sz w:val="22"/>
                <w:szCs w:val="22"/>
                <w:lang w:val="en-US" w:eastAsia="en-US"/>
              </w:rPr>
              <w:t>_</w:t>
            </w:r>
          </w:p>
        </w:tc>
      </w:tr>
      <w:tr w:rsidR="00CB3570" w:rsidRPr="000A33B7" w14:paraId="1C91203A" w14:textId="77777777" w:rsidTr="00D17181">
        <w:trPr>
          <w:gridAfter w:val="2"/>
          <w:wAfter w:w="19" w:type="dxa"/>
          <w:trHeight w:hRule="exact" w:val="359"/>
          <w:jc w:val="center"/>
        </w:trPr>
        <w:tc>
          <w:tcPr>
            <w:tcW w:w="2999" w:type="dxa"/>
            <w:gridSpan w:val="3"/>
            <w:shd w:val="clear" w:color="auto" w:fill="1F497D" w:themeFill="text2"/>
            <w:vAlign w:val="center"/>
          </w:tcPr>
          <w:p w14:paraId="1A582E8A" w14:textId="13A3902D" w:rsidR="00CB3570" w:rsidRPr="000A33B7" w:rsidRDefault="00B86B73" w:rsidP="00CB3570">
            <w:pPr>
              <w:rPr>
                <w:rFonts w:ascii="Calibri" w:eastAsia="Calibri" w:hAnsi="Calibri" w:cs="Arial"/>
                <w:b/>
                <w:bCs/>
                <w:color w:val="FFFFFF" w:themeColor="background1"/>
                <w:sz w:val="20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bCs/>
                <w:color w:val="FFFFFF" w:themeColor="background1"/>
                <w:spacing w:val="40"/>
                <w:lang w:val="en-US" w:eastAsia="en-US"/>
              </w:rPr>
              <w:t>FRAMEWORK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3FE18A8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38" w:type="dxa"/>
            <w:gridSpan w:val="4"/>
            <w:vMerge w:val="restart"/>
            <w:shd w:val="clear" w:color="auto" w:fill="auto"/>
            <w:vAlign w:val="center"/>
          </w:tcPr>
          <w:p w14:paraId="0604CB89" w14:textId="333C373C" w:rsidR="00CB3570" w:rsidRPr="000A33B7" w:rsidRDefault="00B86B73" w:rsidP="00CB3570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/>
              </w:rPr>
              <w:t>Analysis</w:t>
            </w:r>
            <w:r w:rsidRPr="000A33B7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  <w:lang w:val="en-US" w:eastAsia="en-US"/>
              </w:rPr>
              <w:t xml:space="preserve"> </w:t>
            </w:r>
            <w:r w:rsidR="00CB3570" w:rsidRPr="000A33B7">
              <w:rPr>
                <w:rFonts w:ascii="Calibri" w:eastAsia="Calibri" w:hAnsi="Calibri" w:cs="Arial"/>
                <w:b/>
                <w:bCs/>
                <w:sz w:val="20"/>
                <w:szCs w:val="20"/>
                <w:vertAlign w:val="superscript"/>
                <w:lang w:val="en-US" w:eastAsia="en-US"/>
              </w:rPr>
              <w:footnoteReference w:id="1"/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01010CD5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202" w:type="dxa"/>
            <w:gridSpan w:val="3"/>
            <w:shd w:val="clear" w:color="auto" w:fill="auto"/>
            <w:vAlign w:val="center"/>
          </w:tcPr>
          <w:p w14:paraId="2055F47D" w14:textId="4D5879BE" w:rsidR="00CB3570" w:rsidRPr="000A33B7" w:rsidRDefault="00B86B73" w:rsidP="00B86B73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/>
              </w:rPr>
              <w:t>Analysis</w:t>
            </w:r>
          </w:p>
        </w:tc>
      </w:tr>
      <w:tr w:rsidR="00CB3570" w:rsidRPr="000A33B7" w14:paraId="78256FFE" w14:textId="77777777" w:rsidTr="00D17181">
        <w:trPr>
          <w:gridAfter w:val="2"/>
          <w:wAfter w:w="19" w:type="dxa"/>
          <w:cantSplit/>
          <w:trHeight w:val="77"/>
          <w:jc w:val="center"/>
        </w:trPr>
        <w:tc>
          <w:tcPr>
            <w:tcW w:w="950" w:type="dxa"/>
            <w:gridSpan w:val="2"/>
            <w:shd w:val="clear" w:color="auto" w:fill="1F497D" w:themeFill="text2"/>
            <w:vAlign w:val="center"/>
          </w:tcPr>
          <w:p w14:paraId="068E149F" w14:textId="74265E7C" w:rsidR="00CB3570" w:rsidRPr="000A33B7" w:rsidRDefault="00CB3570" w:rsidP="00CB3570">
            <w:pPr>
              <w:rPr>
                <w:rFonts w:ascii="Calibri" w:eastAsia="Calibri" w:hAnsi="Calibri" w:cs="Arial"/>
                <w:iCs/>
                <w:color w:val="FFFFFF" w:themeColor="background1"/>
                <w:sz w:val="20"/>
                <w:szCs w:val="18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bCs/>
                <w:color w:val="FFFFFF" w:themeColor="background1"/>
                <w:sz w:val="20"/>
                <w:szCs w:val="22"/>
                <w:lang w:val="en-US" w:eastAsia="en-US"/>
              </w:rPr>
              <w:t>C</w:t>
            </w:r>
            <w:r w:rsidR="00B86B73" w:rsidRPr="000A33B7">
              <w:rPr>
                <w:rFonts w:ascii="Calibri" w:eastAsia="Calibri" w:hAnsi="Calibri" w:cs="Arial"/>
                <w:b/>
                <w:bCs/>
                <w:color w:val="FFFFFF" w:themeColor="background1"/>
                <w:sz w:val="20"/>
                <w:szCs w:val="22"/>
                <w:lang w:val="en-US" w:eastAsia="en-US"/>
              </w:rPr>
              <w:t>riteria</w:t>
            </w:r>
          </w:p>
        </w:tc>
        <w:tc>
          <w:tcPr>
            <w:tcW w:w="2049" w:type="dxa"/>
            <w:shd w:val="clear" w:color="auto" w:fill="1F497D" w:themeFill="text2"/>
            <w:vAlign w:val="center"/>
          </w:tcPr>
          <w:p w14:paraId="13B9D4CB" w14:textId="6F67FEE8" w:rsidR="00CB3570" w:rsidRPr="000A33B7" w:rsidRDefault="00CB3570" w:rsidP="00CB3570">
            <w:pPr>
              <w:rPr>
                <w:rFonts w:ascii="Calibri" w:eastAsia="Calibri" w:hAnsi="Calibri" w:cs="Arial"/>
                <w:iCs/>
                <w:color w:val="FFFFFF" w:themeColor="background1"/>
                <w:sz w:val="20"/>
                <w:szCs w:val="18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bCs/>
                <w:color w:val="FFFFFF" w:themeColor="background1"/>
                <w:sz w:val="20"/>
                <w:szCs w:val="22"/>
                <w:lang w:val="en-US" w:eastAsia="en-US"/>
              </w:rPr>
              <w:t xml:space="preserve">   Ite</w:t>
            </w:r>
            <w:r w:rsidR="00B86B73" w:rsidRPr="000A33B7">
              <w:rPr>
                <w:rFonts w:ascii="Calibri" w:eastAsia="Calibri" w:hAnsi="Calibri" w:cs="Arial"/>
                <w:b/>
                <w:bCs/>
                <w:color w:val="FFFFFF" w:themeColor="background1"/>
                <w:sz w:val="20"/>
                <w:szCs w:val="22"/>
                <w:lang w:val="en-US" w:eastAsia="en-US"/>
              </w:rPr>
              <w:t>ms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B25345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38" w:type="dxa"/>
            <w:gridSpan w:val="4"/>
            <w:vMerge/>
            <w:shd w:val="clear" w:color="auto" w:fill="auto"/>
            <w:vAlign w:val="center"/>
          </w:tcPr>
          <w:p w14:paraId="3D55E5D4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235ECDAF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shd w:val="clear" w:color="auto" w:fill="auto"/>
            <w:vAlign w:val="center"/>
          </w:tcPr>
          <w:p w14:paraId="070579FC" w14:textId="09807F1E" w:rsidR="00CB3570" w:rsidRPr="000A33B7" w:rsidRDefault="00B86B73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(Exs. </w:t>
            </w:r>
            <w:r w:rsidR="00CB3570"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global</w:t>
            </w:r>
            <w:r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 description</w:t>
            </w:r>
            <w:r w:rsidR="00CB3570"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, </w:t>
            </w:r>
            <w:r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reasons that account for results</w:t>
            </w:r>
            <w:r w:rsidR="00CB3570"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…)</w:t>
            </w:r>
          </w:p>
        </w:tc>
      </w:tr>
      <w:tr w:rsidR="00CB3570" w:rsidRPr="000A33B7" w14:paraId="5732C975" w14:textId="77777777" w:rsidTr="00B86B73">
        <w:trPr>
          <w:gridAfter w:val="2"/>
          <w:wAfter w:w="19" w:type="dxa"/>
          <w:cantSplit/>
          <w:trHeight w:val="283"/>
          <w:jc w:val="center"/>
        </w:trPr>
        <w:tc>
          <w:tcPr>
            <w:tcW w:w="85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4F464CFF" w14:textId="766A3E7D" w:rsidR="00CB3570" w:rsidRPr="000A33B7" w:rsidRDefault="00B86B73" w:rsidP="00D17181">
            <w:pPr>
              <w:jc w:val="center"/>
              <w:rPr>
                <w:rFonts w:ascii="Calibri" w:eastAsia="Calibri" w:hAnsi="Calibri" w:cs="Arial"/>
                <w:b/>
                <w:spacing w:val="20"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pacing w:val="20"/>
                <w:sz w:val="20"/>
                <w:szCs w:val="20"/>
                <w:lang w:val="en-US" w:eastAsia="en-US"/>
              </w:rPr>
              <w:t>Internal efficiency</w:t>
            </w:r>
          </w:p>
        </w:tc>
        <w:tc>
          <w:tcPr>
            <w:tcW w:w="2148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704B7DD" w14:textId="7DAE2BAF" w:rsidR="00CB3570" w:rsidRPr="000A33B7" w:rsidRDefault="00B86B73" w:rsidP="00B86B7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US" w:eastAsia="pt-PT"/>
              </w:rPr>
            </w:pPr>
            <w:r w:rsidRPr="000A33B7">
              <w:rPr>
                <w:rFonts w:ascii="Calibri" w:eastAsia="Calibri" w:hAnsi="Calibri" w:cs="Calibri"/>
                <w:iCs/>
                <w:sz w:val="20"/>
                <w:szCs w:val="20"/>
                <w:lang w:val="en-US" w:eastAsia="en-US"/>
              </w:rPr>
              <w:t>How do success rates compare to those obtained the previous year?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B0E8255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dxa"/>
            <w:shd w:val="clear" w:color="auto" w:fill="F2DBDB" w:themeFill="accent2" w:themeFillTint="33"/>
            <w:vAlign w:val="center"/>
          </w:tcPr>
          <w:p w14:paraId="26AAEA0C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  <w:t>↘</w:t>
            </w:r>
          </w:p>
        </w:tc>
        <w:tc>
          <w:tcPr>
            <w:tcW w:w="630" w:type="dxa"/>
            <w:gridSpan w:val="2"/>
            <w:shd w:val="clear" w:color="auto" w:fill="F2DBDB" w:themeFill="accent2" w:themeFillTint="33"/>
            <w:vAlign w:val="center"/>
          </w:tcPr>
          <w:p w14:paraId="05E188E2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↔</w:t>
            </w:r>
          </w:p>
        </w:tc>
        <w:tc>
          <w:tcPr>
            <w:tcW w:w="646" w:type="dxa"/>
            <w:shd w:val="clear" w:color="auto" w:fill="F2DBDB" w:themeFill="accent2" w:themeFillTint="33"/>
            <w:vAlign w:val="center"/>
          </w:tcPr>
          <w:p w14:paraId="384CF442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bCs/>
                <w:smallCaps/>
                <w:color w:val="0070C0"/>
                <w:spacing w:val="40"/>
                <w:sz w:val="22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  <w:t>↗</w:t>
            </w:r>
          </w:p>
        </w:tc>
        <w:tc>
          <w:tcPr>
            <w:tcW w:w="337" w:type="dxa"/>
            <w:vMerge w:val="restart"/>
            <w:shd w:val="clear" w:color="auto" w:fill="auto"/>
            <w:vAlign w:val="center"/>
          </w:tcPr>
          <w:p w14:paraId="7B435D9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 w:val="restart"/>
            <w:shd w:val="clear" w:color="auto" w:fill="auto"/>
          </w:tcPr>
          <w:p w14:paraId="626B67D7" w14:textId="77777777" w:rsidR="00D17181" w:rsidRPr="000A33B7" w:rsidRDefault="00CB3570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  <w:t>_</w:t>
            </w:r>
          </w:p>
          <w:p w14:paraId="4D7B7D3E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1580A112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02AFF873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33DAFD24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732E0BBE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48857BAC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43E654DE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7652AB40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5C80B7F3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511DCF4D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7FA697A2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351419D0" w14:textId="77777777" w:rsidR="00D17181" w:rsidRPr="000A33B7" w:rsidRDefault="00D17181" w:rsidP="00D17181">
            <w:pPr>
              <w:pStyle w:val="Textodenotaderodap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  <w:p w14:paraId="5F2F130F" w14:textId="40BAFCED" w:rsidR="00D17181" w:rsidRPr="000A33B7" w:rsidRDefault="00D17181" w:rsidP="00D17181">
            <w:pPr>
              <w:pStyle w:val="Textodenotaderodap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A33B7">
              <w:rPr>
                <w:rStyle w:val="Refdenotaderodap"/>
                <w:rFonts w:asciiTheme="minorHAnsi" w:hAnsiTheme="minorHAnsi"/>
                <w:sz w:val="22"/>
                <w:szCs w:val="22"/>
                <w:lang w:val="en-US"/>
              </w:rPr>
              <w:footnoteRef/>
            </w:r>
            <w:r w:rsidRPr="000A33B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A96C7D" w:rsidRPr="000A33B7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Mark with </w:t>
            </w:r>
            <w:r w:rsidRPr="000A33B7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0A33B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X</w:t>
            </w:r>
            <w:r w:rsidRPr="000A33B7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="00A96C7D" w:rsidRPr="000A33B7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the result analysis </w:t>
            </w:r>
            <w:r w:rsidR="00A96C7D" w:rsidRPr="000A33B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Caption</w:t>
            </w:r>
            <w:r w:rsidRPr="000A33B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:</w:t>
            </w:r>
            <w:r w:rsidRPr="000A33B7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="00A96C7D" w:rsidRPr="000A33B7">
              <w:rPr>
                <w:rFonts w:asciiTheme="minorHAnsi" w:hAnsiTheme="minorHAnsi"/>
                <w:b/>
                <w:color w:val="FF0000"/>
                <w:sz w:val="16"/>
                <w:szCs w:val="16"/>
                <w:lang w:val="en-US"/>
              </w:rPr>
              <w:t>↘ - Under</w:t>
            </w:r>
            <w:r w:rsidRPr="000A33B7">
              <w:rPr>
                <w:rFonts w:asciiTheme="minorHAnsi" w:hAnsiTheme="minorHAnsi"/>
                <w:b/>
                <w:color w:val="FF0000"/>
                <w:sz w:val="16"/>
                <w:szCs w:val="16"/>
                <w:lang w:val="en-US"/>
              </w:rPr>
              <w:t xml:space="preserve">; </w:t>
            </w:r>
            <w:r w:rsidR="00A96C7D" w:rsidRPr="000A33B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↔ - Identical</w:t>
            </w:r>
            <w:r w:rsidRPr="000A33B7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; </w:t>
            </w:r>
            <w:r w:rsidRPr="000A33B7">
              <w:rPr>
                <w:rFonts w:asciiTheme="minorHAnsi" w:hAnsiTheme="minorHAnsi"/>
                <w:b/>
                <w:color w:val="0070C0"/>
                <w:sz w:val="16"/>
                <w:szCs w:val="16"/>
                <w:lang w:val="en-US"/>
              </w:rPr>
              <w:t>↗ - A</w:t>
            </w:r>
            <w:r w:rsidR="00A96C7D" w:rsidRPr="000A33B7">
              <w:rPr>
                <w:rFonts w:asciiTheme="minorHAnsi" w:hAnsiTheme="minorHAnsi"/>
                <w:b/>
                <w:color w:val="0070C0"/>
                <w:sz w:val="16"/>
                <w:szCs w:val="16"/>
                <w:lang w:val="en-US"/>
              </w:rPr>
              <w:t>bove</w:t>
            </w:r>
            <w:r w:rsidRPr="000A33B7">
              <w:rPr>
                <w:rFonts w:asciiTheme="minorHAnsi" w:hAnsiTheme="minorHAnsi"/>
                <w:b/>
                <w:color w:val="31849B" w:themeColor="accent5" w:themeShade="BF"/>
                <w:sz w:val="16"/>
                <w:szCs w:val="16"/>
                <w:lang w:val="en-US"/>
              </w:rPr>
              <w:t>.</w:t>
            </w:r>
          </w:p>
          <w:p w14:paraId="2BFAFFC4" w14:textId="77777777" w:rsidR="00CB3570" w:rsidRPr="000A33B7" w:rsidRDefault="00CB3570" w:rsidP="00CB3570">
            <w:pPr>
              <w:spacing w:line="276" w:lineRule="auto"/>
              <w:rPr>
                <w:rFonts w:ascii="Calibri" w:eastAsia="Calibri" w:hAnsi="Calibri" w:cs="Arial"/>
                <w:color w:val="1F497D" w:themeColor="text2"/>
                <w:sz w:val="16"/>
                <w:szCs w:val="16"/>
                <w:lang w:val="en-US" w:eastAsia="en-US"/>
              </w:rPr>
            </w:pPr>
          </w:p>
        </w:tc>
      </w:tr>
      <w:tr w:rsidR="00CB3570" w:rsidRPr="000A33B7" w14:paraId="2E060F84" w14:textId="77777777" w:rsidTr="00D17181">
        <w:trPr>
          <w:gridAfter w:val="2"/>
          <w:wAfter w:w="19" w:type="dxa"/>
          <w:cantSplit/>
          <w:trHeight w:val="77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526783B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6835DBA0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5376D87" w14:textId="409B03F1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5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A71BD2A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2872EE78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5C332EE2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329A8445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6CD121A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48F09887" w14:textId="77777777" w:rsidTr="00D17181">
        <w:trPr>
          <w:gridAfter w:val="2"/>
          <w:wAfter w:w="19" w:type="dxa"/>
          <w:cantSplit/>
          <w:trHeight w:val="20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398E05CF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18819B49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F2F0521" w14:textId="43D87C8B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6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09E49304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20E8B3A2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1A4003A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24D8E12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2F436E70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2ECE9713" w14:textId="77777777" w:rsidTr="00D17181">
        <w:trPr>
          <w:gridAfter w:val="2"/>
          <w:wAfter w:w="19" w:type="dxa"/>
          <w:cantSplit/>
          <w:trHeight w:val="20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511844B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2B10F9DF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54EAE3D" w14:textId="012B0F21" w:rsidR="00CB3570" w:rsidRPr="000A33B7" w:rsidRDefault="00B86B73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7th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67F25E9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6DE4DF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19629D95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77441938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0A886D1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384DF616" w14:textId="77777777" w:rsidTr="00D17181">
        <w:trPr>
          <w:gridAfter w:val="2"/>
          <w:wAfter w:w="19" w:type="dxa"/>
          <w:cantSplit/>
          <w:trHeight w:val="77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46868DD1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32FB6391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12786F1" w14:textId="37CBAD7A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8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470C084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4965042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5591D8A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573269D8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44136D1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47A7536D" w14:textId="77777777" w:rsidTr="00D17181">
        <w:trPr>
          <w:gridAfter w:val="2"/>
          <w:wAfter w:w="19" w:type="dxa"/>
          <w:cantSplit/>
          <w:trHeight w:val="20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21E669D5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1F76E0E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E9FC80E" w14:textId="4835D68F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9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2CA806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DACB58C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15BDBCAA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2AFB828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0DCB3470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1B1E9222" w14:textId="77777777" w:rsidTr="00D17181">
        <w:trPr>
          <w:gridAfter w:val="2"/>
          <w:wAfter w:w="19" w:type="dxa"/>
          <w:cantSplit/>
          <w:trHeight w:val="57"/>
          <w:jc w:val="center"/>
        </w:trPr>
        <w:tc>
          <w:tcPr>
            <w:tcW w:w="5612" w:type="dxa"/>
            <w:gridSpan w:val="8"/>
            <w:shd w:val="clear" w:color="auto" w:fill="auto"/>
            <w:vAlign w:val="center"/>
          </w:tcPr>
          <w:p w14:paraId="793852E9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00D1BE71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C6D9F1" w:themeFill="text2" w:themeFillTint="33"/>
            <w:vAlign w:val="center"/>
          </w:tcPr>
          <w:p w14:paraId="0983AA0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3A7725AC" w14:textId="77777777" w:rsidTr="00D17181">
        <w:trPr>
          <w:gridAfter w:val="2"/>
          <w:wAfter w:w="19" w:type="dxa"/>
          <w:cantSplit/>
          <w:trHeight w:val="26"/>
          <w:jc w:val="center"/>
        </w:trPr>
        <w:tc>
          <w:tcPr>
            <w:tcW w:w="85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7ED8DB2E" w14:textId="42C7664A" w:rsidR="00CB3570" w:rsidRPr="000A33B7" w:rsidRDefault="00B86B73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Times New Roman" w:hAnsi="Calibri" w:cs="Calibri"/>
                <w:b/>
                <w:sz w:val="20"/>
                <w:szCs w:val="20"/>
                <w:lang w:val="en-US" w:eastAsia="pt-PT"/>
              </w:rPr>
              <w:t>Internal quality</w:t>
            </w:r>
          </w:p>
        </w:tc>
        <w:tc>
          <w:tcPr>
            <w:tcW w:w="2148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05D7E70" w14:textId="710E33DB" w:rsidR="00CB3570" w:rsidRPr="000A33B7" w:rsidRDefault="00B86B73" w:rsidP="00CB35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Calibri"/>
                <w:iCs/>
                <w:sz w:val="20"/>
                <w:szCs w:val="20"/>
                <w:lang w:val="en-US" w:eastAsia="en-US"/>
              </w:rPr>
              <w:t>How do average grades compare to those obtained the previous year?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DC8878B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dxa"/>
            <w:shd w:val="clear" w:color="auto" w:fill="F2DBDB" w:themeFill="accent2" w:themeFillTint="33"/>
            <w:vAlign w:val="center"/>
          </w:tcPr>
          <w:p w14:paraId="1104DF2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  <w:t>↘</w:t>
            </w:r>
          </w:p>
        </w:tc>
        <w:tc>
          <w:tcPr>
            <w:tcW w:w="630" w:type="dxa"/>
            <w:gridSpan w:val="2"/>
            <w:shd w:val="clear" w:color="auto" w:fill="F2DBDB" w:themeFill="accent2" w:themeFillTint="33"/>
            <w:vAlign w:val="center"/>
          </w:tcPr>
          <w:p w14:paraId="02F2889C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↔</w:t>
            </w:r>
          </w:p>
        </w:tc>
        <w:tc>
          <w:tcPr>
            <w:tcW w:w="646" w:type="dxa"/>
            <w:shd w:val="clear" w:color="auto" w:fill="F2DBDB" w:themeFill="accent2" w:themeFillTint="33"/>
            <w:vAlign w:val="center"/>
          </w:tcPr>
          <w:p w14:paraId="2D6F722F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bCs/>
                <w:smallCaps/>
                <w:color w:val="0070C0"/>
                <w:spacing w:val="40"/>
                <w:sz w:val="22"/>
                <w:szCs w:val="22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  <w:t>↗</w:t>
            </w:r>
          </w:p>
        </w:tc>
        <w:tc>
          <w:tcPr>
            <w:tcW w:w="337" w:type="dxa"/>
            <w:vMerge w:val="restart"/>
            <w:shd w:val="clear" w:color="auto" w:fill="auto"/>
            <w:vAlign w:val="center"/>
          </w:tcPr>
          <w:p w14:paraId="277C40A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64CA2841" w14:textId="77777777" w:rsidR="00CB3570" w:rsidRPr="000A33B7" w:rsidRDefault="00CB3570" w:rsidP="00CB3570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6AC2DAB7" w14:textId="77777777" w:rsidTr="00D17181">
        <w:trPr>
          <w:gridAfter w:val="2"/>
          <w:wAfter w:w="19" w:type="dxa"/>
          <w:cantSplit/>
          <w:trHeight w:val="77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07ED0C15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2BF537E1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96D79B1" w14:textId="07ACC4EF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5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7E27C06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6BCF4C8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5A076735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690F5230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0BD0F7E6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15024318" w14:textId="77777777" w:rsidTr="00D17181">
        <w:trPr>
          <w:gridAfter w:val="2"/>
          <w:wAfter w:w="19" w:type="dxa"/>
          <w:cantSplit/>
          <w:trHeight w:val="117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504D861B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491E9BAA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646AB24" w14:textId="3ACEB18F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6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0204A83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1D7538B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3CACA7B4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46AA84A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16B0BAF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31A530EC" w14:textId="77777777" w:rsidTr="00D17181">
        <w:trPr>
          <w:gridAfter w:val="2"/>
          <w:wAfter w:w="19" w:type="dxa"/>
          <w:cantSplit/>
          <w:trHeight w:val="167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12D4B8A1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05BBA1DA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A3CE5DD" w14:textId="548194BA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7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D4B1591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2487440E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744A8188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6958444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</w:tcPr>
          <w:p w14:paraId="7A412E96" w14:textId="77777777" w:rsidR="00CB3570" w:rsidRPr="000A33B7" w:rsidRDefault="00CB3570" w:rsidP="00CB3570">
            <w:pPr>
              <w:rPr>
                <w:rFonts w:ascii="Calibri" w:eastAsia="Calibri" w:hAnsi="Calibri" w:cs="Arial"/>
                <w:sz w:val="18"/>
                <w:szCs w:val="18"/>
                <w:lang w:val="en-US" w:eastAsia="en-US"/>
              </w:rPr>
            </w:pPr>
          </w:p>
        </w:tc>
      </w:tr>
      <w:tr w:rsidR="00CB3570" w:rsidRPr="000A33B7" w14:paraId="5C23FC9C" w14:textId="77777777" w:rsidTr="00D17181">
        <w:trPr>
          <w:gridAfter w:val="2"/>
          <w:wAfter w:w="19" w:type="dxa"/>
          <w:cantSplit/>
          <w:trHeight w:val="201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29528E19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5F22300B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D9A0378" w14:textId="13C2E9E6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8</w:t>
            </w:r>
            <w:r w:rsidR="00B86B73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th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883D488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547D3940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630A2FE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18DCA11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631C9F9C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CB3570" w:rsidRPr="000A33B7" w14:paraId="08DF1018" w14:textId="77777777" w:rsidTr="00D17181">
        <w:trPr>
          <w:gridAfter w:val="2"/>
          <w:wAfter w:w="19" w:type="dxa"/>
          <w:cantSplit/>
          <w:trHeight w:val="206"/>
          <w:jc w:val="center"/>
        </w:trPr>
        <w:tc>
          <w:tcPr>
            <w:tcW w:w="851" w:type="dxa"/>
            <w:vMerge/>
            <w:shd w:val="clear" w:color="auto" w:fill="C6D9F1" w:themeFill="text2" w:themeFillTint="33"/>
            <w:textDirection w:val="btLr"/>
            <w:vAlign w:val="center"/>
          </w:tcPr>
          <w:p w14:paraId="6B9EDDD0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2148" w:type="dxa"/>
            <w:gridSpan w:val="2"/>
            <w:vMerge/>
            <w:shd w:val="clear" w:color="auto" w:fill="C6D9F1" w:themeFill="text2" w:themeFillTint="33"/>
            <w:vAlign w:val="center"/>
          </w:tcPr>
          <w:p w14:paraId="48B0590B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054C4CD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9.º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3F0EC317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45F224C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40B38863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b/>
                <w:color w:val="0070C0"/>
                <w:sz w:val="20"/>
                <w:szCs w:val="20"/>
                <w:lang w:val="en-US" w:eastAsia="en-US"/>
              </w:rPr>
            </w:pP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42842272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8202" w:type="dxa"/>
            <w:gridSpan w:val="3"/>
            <w:vMerge/>
            <w:shd w:val="clear" w:color="auto" w:fill="auto"/>
            <w:vAlign w:val="center"/>
          </w:tcPr>
          <w:p w14:paraId="622A3924" w14:textId="77777777" w:rsidR="00CB3570" w:rsidRPr="000A33B7" w:rsidRDefault="00CB3570" w:rsidP="00CB3570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D17181" w:rsidRPr="000A33B7" w14:paraId="64EBBE5D" w14:textId="77777777" w:rsidTr="00884C15">
        <w:trPr>
          <w:cantSplit/>
          <w:trHeight w:val="488"/>
          <w:jc w:val="center"/>
        </w:trPr>
        <w:tc>
          <w:tcPr>
            <w:tcW w:w="49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1F6A" w14:textId="16BD0DF0" w:rsidR="00D17181" w:rsidRPr="000A33B7" w:rsidRDefault="00A96C7D" w:rsidP="00D17181">
            <w:pPr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Were remedial strategies</w:t>
            </w:r>
            <w:r w:rsidR="00B2535F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 def</w:t>
            </w:r>
            <w:r w:rsidRPr="000A33B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 xml:space="preserve">ined / remedial strategies of the weak points / or reinforcement of strong points </w:t>
            </w:r>
          </w:p>
          <w:p w14:paraId="71B71646" w14:textId="085640FF" w:rsidR="00D17181" w:rsidRPr="000A33B7" w:rsidRDefault="00A96C7D" w:rsidP="00D17181">
            <w:pPr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sz w:val="16"/>
                <w:szCs w:val="16"/>
                <w:lang w:val="en-US" w:eastAsia="en-US"/>
              </w:rPr>
              <w:t>(Mark with</w:t>
            </w:r>
            <w:r w:rsidR="00D17181" w:rsidRPr="000A33B7">
              <w:rPr>
                <w:rFonts w:ascii="Calibri" w:eastAsia="Calibri" w:hAnsi="Calibri" w:cs="Arial"/>
                <w:sz w:val="16"/>
                <w:szCs w:val="16"/>
                <w:lang w:val="en-US" w:eastAsia="en-US"/>
              </w:rPr>
              <w:t xml:space="preserve"> </w:t>
            </w:r>
            <w:r w:rsidR="00D17181" w:rsidRPr="000A33B7">
              <w:rPr>
                <w:rFonts w:ascii="Calibri" w:eastAsia="Calibri" w:hAnsi="Calibri" w:cs="Arial"/>
                <w:b/>
                <w:sz w:val="16"/>
                <w:szCs w:val="16"/>
                <w:lang w:val="en-US" w:eastAsia="en-US"/>
              </w:rPr>
              <w:t xml:space="preserve">X </w:t>
            </w:r>
            <w:r w:rsidR="00D17181" w:rsidRPr="000A33B7">
              <w:rPr>
                <w:rFonts w:ascii="Calibri" w:eastAsia="Calibri" w:hAnsi="Calibri" w:cs="Arial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6382" w14:textId="77777777" w:rsidR="00D17181" w:rsidRPr="000A33B7" w:rsidRDefault="00884C15" w:rsidP="00D1718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313E" w14:textId="77777777" w:rsidR="00D17181" w:rsidRPr="000A33B7" w:rsidRDefault="00884C15" w:rsidP="00D1718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E826" w14:textId="77777777" w:rsidR="00D17181" w:rsidRPr="000A33B7" w:rsidRDefault="00D17181" w:rsidP="00D171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D17181" w:rsidRPr="000A33B7" w14:paraId="68CFD754" w14:textId="77777777" w:rsidTr="00884C15">
        <w:trPr>
          <w:cantSplit/>
          <w:trHeight w:val="488"/>
          <w:jc w:val="center"/>
        </w:trPr>
        <w:tc>
          <w:tcPr>
            <w:tcW w:w="49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2D758" w14:textId="77777777" w:rsidR="00D17181" w:rsidRPr="000A33B7" w:rsidRDefault="00D17181" w:rsidP="00D17181">
            <w:pPr>
              <w:jc w:val="center"/>
              <w:rPr>
                <w:rFonts w:ascii="Calibri" w:eastAsia="Calibri" w:hAnsi="Calibri" w:cs="Arial"/>
                <w:color w:val="1F497D" w:themeColor="text2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1179" w14:textId="77777777" w:rsidR="00D17181" w:rsidRPr="000A33B7" w:rsidRDefault="00D17181" w:rsidP="00D1718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C3E" w14:textId="77777777" w:rsidR="00D17181" w:rsidRPr="000A33B7" w:rsidRDefault="00D17181" w:rsidP="00D1718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8E9C" w14:textId="77777777" w:rsidR="00D17181" w:rsidRPr="000A33B7" w:rsidRDefault="00D17181" w:rsidP="00D1718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D17181" w:rsidRPr="000A33B7" w14:paraId="61B49EC7" w14:textId="77777777" w:rsidTr="002714AE">
        <w:trPr>
          <w:cantSplit/>
          <w:trHeight w:val="488"/>
          <w:jc w:val="center"/>
        </w:trPr>
        <w:tc>
          <w:tcPr>
            <w:tcW w:w="1417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4977F" w14:textId="7DA855F8" w:rsidR="00D17181" w:rsidRPr="000A33B7" w:rsidRDefault="00A96C7D" w:rsidP="00D17181">
            <w:pPr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</w:pPr>
            <w:r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If YES, identify strategies</w:t>
            </w:r>
            <w:r w:rsidR="00D17181" w:rsidRPr="000A33B7">
              <w:rPr>
                <w:rFonts w:ascii="Calibri" w:eastAsia="Calibri" w:hAnsi="Calibri" w:cs="Arial"/>
                <w:b/>
                <w:sz w:val="20"/>
                <w:szCs w:val="20"/>
                <w:lang w:val="en-US" w:eastAsia="en-US"/>
              </w:rPr>
              <w:t>:</w:t>
            </w:r>
          </w:p>
        </w:tc>
      </w:tr>
    </w:tbl>
    <w:p w14:paraId="343C1E6A" w14:textId="77777777" w:rsidR="00783111" w:rsidRPr="000A33B7" w:rsidRDefault="00783111" w:rsidP="00884C15">
      <w:pPr>
        <w:rPr>
          <w:b/>
          <w:u w:val="single"/>
          <w:lang w:val="en-US"/>
        </w:rPr>
      </w:pPr>
    </w:p>
    <w:p w14:paraId="01679C0F" w14:textId="77777777" w:rsidR="00884C15" w:rsidRPr="000A33B7" w:rsidRDefault="00884C15" w:rsidP="00884C15">
      <w:pPr>
        <w:rPr>
          <w:b/>
          <w:u w:val="single"/>
          <w:lang w:val="en-US"/>
        </w:rPr>
      </w:pPr>
    </w:p>
    <w:p w14:paraId="7EDA8CDD" w14:textId="77777777" w:rsidR="00884C15" w:rsidRPr="000A33B7" w:rsidRDefault="00884C15" w:rsidP="00884C15">
      <w:pPr>
        <w:rPr>
          <w:lang w:val="en-US"/>
        </w:rPr>
      </w:pPr>
    </w:p>
    <w:p w14:paraId="3A59A9EC" w14:textId="141872CC" w:rsidR="00884C15" w:rsidRPr="00F11D27" w:rsidRDefault="00A96C7D" w:rsidP="00F11D27">
      <w:pPr>
        <w:pStyle w:val="PargrafodaLista"/>
        <w:numPr>
          <w:ilvl w:val="0"/>
          <w:numId w:val="17"/>
        </w:numPr>
        <w:spacing w:line="360" w:lineRule="auto"/>
        <w:rPr>
          <w:rFonts w:ascii="Arial" w:hAnsi="Arial" w:cs="Arial"/>
          <w:lang w:val="en-US"/>
        </w:rPr>
      </w:pPr>
      <w:r w:rsidRPr="000A33B7">
        <w:rPr>
          <w:rFonts w:ascii="Arial" w:hAnsi="Arial" w:cs="Arial"/>
          <w:lang w:val="en-US"/>
        </w:rPr>
        <w:t>In the department meetings, coordinators, besides presenting the results, can also encourage the sharing of the results obtained in each subject and this way collect all necessary data.</w:t>
      </w:r>
    </w:p>
    <w:p w14:paraId="3A18C650" w14:textId="3F847897" w:rsidR="00884C15" w:rsidRPr="00F11D27" w:rsidRDefault="00374A26" w:rsidP="00F11D27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0A33B7">
        <w:rPr>
          <w:rFonts w:ascii="Arial" w:hAnsi="Arial" w:cs="Arial"/>
          <w:sz w:val="22"/>
          <w:szCs w:val="22"/>
          <w:lang w:val="en-US"/>
        </w:rPr>
        <w:t xml:space="preserve"> </w:t>
      </w:r>
      <w:r w:rsidR="00A96C7D" w:rsidRPr="000A33B7">
        <w:rPr>
          <w:rFonts w:ascii="Arial" w:hAnsi="Arial" w:cs="Arial"/>
          <w:sz w:val="22"/>
          <w:szCs w:val="22"/>
          <w:lang w:val="en-US"/>
        </w:rPr>
        <w:t>Filled in evaluation spreadsheets have to be sent to the email account of the self-evaluation team.</w:t>
      </w:r>
    </w:p>
    <w:p w14:paraId="637CB564" w14:textId="290DE8B9" w:rsidR="006A5F31" w:rsidRPr="000A33B7" w:rsidRDefault="00A96C7D" w:rsidP="00884C1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0A33B7">
        <w:rPr>
          <w:rFonts w:ascii="Arial" w:hAnsi="Arial" w:cs="Arial"/>
          <w:sz w:val="22"/>
          <w:szCs w:val="22"/>
          <w:lang w:val="en-US"/>
        </w:rPr>
        <w:t xml:space="preserve">With all </w:t>
      </w:r>
      <w:r w:rsidR="000A33B7" w:rsidRPr="000A33B7">
        <w:rPr>
          <w:rFonts w:ascii="Arial" w:hAnsi="Arial" w:cs="Arial"/>
          <w:sz w:val="22"/>
          <w:szCs w:val="22"/>
          <w:lang w:val="en-US"/>
        </w:rPr>
        <w:t>filled</w:t>
      </w:r>
      <w:r w:rsidRPr="000A33B7">
        <w:rPr>
          <w:rFonts w:ascii="Arial" w:hAnsi="Arial" w:cs="Arial"/>
          <w:sz w:val="22"/>
          <w:szCs w:val="22"/>
          <w:lang w:val="en-US"/>
        </w:rPr>
        <w:t xml:space="preserve"> in spreadsheets, the self-evaluation team will write a report</w:t>
      </w:r>
      <w:r w:rsidR="000A33B7">
        <w:rPr>
          <w:rFonts w:ascii="Arial" w:hAnsi="Arial" w:cs="Arial"/>
          <w:sz w:val="22"/>
          <w:szCs w:val="22"/>
          <w:lang w:val="en-US"/>
        </w:rPr>
        <w:t xml:space="preserve"> o</w:t>
      </w:r>
      <w:r w:rsidRPr="000A33B7">
        <w:rPr>
          <w:rFonts w:ascii="Arial" w:hAnsi="Arial" w:cs="Arial"/>
          <w:sz w:val="22"/>
          <w:szCs w:val="22"/>
          <w:lang w:val="en-US"/>
        </w:rPr>
        <w:t xml:space="preserve">n the </w:t>
      </w:r>
      <w:r w:rsidR="000A33B7" w:rsidRPr="000A33B7">
        <w:rPr>
          <w:rFonts w:ascii="Arial" w:hAnsi="Arial" w:cs="Arial"/>
          <w:sz w:val="22"/>
          <w:szCs w:val="22"/>
          <w:lang w:val="en-US"/>
        </w:rPr>
        <w:t>academic success that will be put</w:t>
      </w:r>
      <w:r w:rsidR="00B2535F">
        <w:rPr>
          <w:rFonts w:ascii="Arial" w:hAnsi="Arial" w:cs="Arial"/>
          <w:sz w:val="22"/>
          <w:szCs w:val="22"/>
          <w:lang w:val="en-US"/>
        </w:rPr>
        <w:t xml:space="preserve"> for consideration and analysis</w:t>
      </w:r>
      <w:r w:rsidR="000A33B7" w:rsidRPr="000A33B7">
        <w:rPr>
          <w:rFonts w:ascii="Arial" w:hAnsi="Arial" w:cs="Arial"/>
          <w:sz w:val="22"/>
          <w:szCs w:val="22"/>
          <w:lang w:val="en-US"/>
        </w:rPr>
        <w:t>. This will all</w:t>
      </w:r>
      <w:r w:rsidR="000A33B7">
        <w:rPr>
          <w:rFonts w:ascii="Arial" w:hAnsi="Arial" w:cs="Arial"/>
          <w:sz w:val="22"/>
          <w:szCs w:val="22"/>
          <w:lang w:val="en-US"/>
        </w:rPr>
        <w:t>ow for future decision taking in rela</w:t>
      </w:r>
      <w:r w:rsidR="000A33B7" w:rsidRPr="000A33B7">
        <w:rPr>
          <w:rFonts w:ascii="Arial" w:hAnsi="Arial" w:cs="Arial"/>
          <w:sz w:val="22"/>
          <w:szCs w:val="22"/>
          <w:lang w:val="en-US"/>
        </w:rPr>
        <w:t xml:space="preserve">tion </w:t>
      </w:r>
      <w:r w:rsidR="000A33B7">
        <w:rPr>
          <w:rFonts w:ascii="Arial" w:hAnsi="Arial" w:cs="Arial"/>
          <w:sz w:val="22"/>
          <w:szCs w:val="22"/>
          <w:lang w:val="en-US"/>
        </w:rPr>
        <w:t xml:space="preserve">to </w:t>
      </w:r>
      <w:r w:rsidR="000A33B7" w:rsidRPr="000A33B7">
        <w:rPr>
          <w:rFonts w:ascii="Arial" w:hAnsi="Arial" w:cs="Arial"/>
          <w:sz w:val="22"/>
          <w:szCs w:val="22"/>
          <w:lang w:val="en-US"/>
        </w:rPr>
        <w:t>strategic organization propositions to improve success and good practices suggested by teachers.</w:t>
      </w:r>
    </w:p>
    <w:p w14:paraId="42479E5C" w14:textId="77777777" w:rsidR="00C070AE" w:rsidRPr="00884C15" w:rsidRDefault="00C070AE" w:rsidP="00884C15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9311E1" w14:textId="77777777" w:rsidR="00884C15" w:rsidRPr="00884C15" w:rsidRDefault="00CC668C" w:rsidP="00884C15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4C15">
        <w:rPr>
          <w:rFonts w:ascii="Arial" w:hAnsi="Arial" w:cs="Arial"/>
          <w:sz w:val="22"/>
          <w:szCs w:val="22"/>
        </w:rPr>
        <w:tab/>
      </w:r>
    </w:p>
    <w:p w14:paraId="3521B224" w14:textId="77777777" w:rsidR="009370AE" w:rsidRPr="00374A26" w:rsidRDefault="009370AE" w:rsidP="009370AE">
      <w:pPr>
        <w:spacing w:line="276" w:lineRule="auto"/>
        <w:jc w:val="right"/>
        <w:rPr>
          <w:rFonts w:ascii="Calibri" w:hAnsi="Calibri"/>
        </w:rPr>
      </w:pPr>
    </w:p>
    <w:sectPr w:rsidR="009370AE" w:rsidRPr="00374A26" w:rsidSect="00F86D85">
      <w:headerReference w:type="default" r:id="rId11"/>
      <w:footerReference w:type="default" r:id="rId12"/>
      <w:pgSz w:w="16838" w:h="11906" w:orient="landscape"/>
      <w:pgMar w:top="1021" w:right="1021" w:bottom="1021" w:left="102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71AD4" w14:textId="77777777" w:rsidR="00FF49BE" w:rsidRDefault="00FF49BE">
      <w:r>
        <w:separator/>
      </w:r>
    </w:p>
  </w:endnote>
  <w:endnote w:type="continuationSeparator" w:id="0">
    <w:p w14:paraId="0115BABC" w14:textId="77777777" w:rsidR="00FF49BE" w:rsidRDefault="00FF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A3136" w14:textId="49DC31B0" w:rsidR="00CC2D2A" w:rsidRPr="00901C87" w:rsidRDefault="00CC2D2A" w:rsidP="00F86D85">
    <w:pPr>
      <w:pStyle w:val="Rodap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2D5F5" w14:textId="77777777" w:rsidR="00FF49BE" w:rsidRDefault="00FF49BE">
      <w:r>
        <w:separator/>
      </w:r>
    </w:p>
  </w:footnote>
  <w:footnote w:type="continuationSeparator" w:id="0">
    <w:p w14:paraId="6562A220" w14:textId="77777777" w:rsidR="00FF49BE" w:rsidRDefault="00FF49BE">
      <w:r>
        <w:continuationSeparator/>
      </w:r>
    </w:p>
  </w:footnote>
  <w:footnote w:id="1">
    <w:p w14:paraId="70A2DB15" w14:textId="77777777" w:rsidR="00CB3570" w:rsidRPr="00F5084B" w:rsidRDefault="00CB3570" w:rsidP="00CB3570">
      <w:pPr>
        <w:pStyle w:val="Textodenotaderodap"/>
        <w:rPr>
          <w:rFonts w:asciiTheme="minorHAnsi" w:hAnsi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CD1A2" w14:textId="276AA7E8" w:rsidR="009370AE" w:rsidRPr="00552B9B" w:rsidRDefault="00782ADF" w:rsidP="00872CA7">
    <w:pPr>
      <w:pStyle w:val="Cabealho"/>
      <w:tabs>
        <w:tab w:val="clear" w:pos="4252"/>
        <w:tab w:val="clear" w:pos="8504"/>
      </w:tabs>
      <w:jc w:val="center"/>
      <w:rPr>
        <w:rFonts w:ascii="Calibri" w:hAnsi="Calibri"/>
        <w:color w:val="9BBB59" w:themeColor="accent3"/>
        <w:sz w:val="20"/>
        <w:szCs w:val="20"/>
      </w:rPr>
    </w:pPr>
    <w:r w:rsidRPr="00552B9B">
      <w:rPr>
        <w:rFonts w:ascii="Calibri" w:hAnsi="Calibri"/>
        <w:color w:val="9BBB59" w:themeColor="accent3"/>
        <w:sz w:val="20"/>
        <w:szCs w:val="20"/>
      </w:rPr>
      <w:fldChar w:fldCharType="begin"/>
    </w:r>
    <w:r w:rsidR="009370AE" w:rsidRPr="00552B9B">
      <w:rPr>
        <w:rFonts w:ascii="Calibri" w:hAnsi="Calibri"/>
        <w:color w:val="9BBB59" w:themeColor="accent3"/>
        <w:sz w:val="20"/>
        <w:szCs w:val="20"/>
      </w:rPr>
      <w:instrText xml:space="preserve"> PAGE   \* MERGEFORMAT </w:instrText>
    </w:r>
    <w:r w:rsidRPr="00552B9B">
      <w:rPr>
        <w:rFonts w:ascii="Calibri" w:hAnsi="Calibri"/>
        <w:color w:val="9BBB59" w:themeColor="accent3"/>
        <w:sz w:val="20"/>
        <w:szCs w:val="20"/>
      </w:rPr>
      <w:fldChar w:fldCharType="separate"/>
    </w:r>
    <w:r w:rsidR="00707522">
      <w:rPr>
        <w:rFonts w:ascii="Calibri" w:hAnsi="Calibri"/>
        <w:noProof/>
        <w:color w:val="9BBB59" w:themeColor="accent3"/>
        <w:sz w:val="20"/>
        <w:szCs w:val="20"/>
      </w:rPr>
      <w:t>1</w:t>
    </w:r>
    <w:r w:rsidRPr="00552B9B">
      <w:rPr>
        <w:rFonts w:ascii="Calibri" w:hAnsi="Calibri"/>
        <w:color w:val="9BBB59" w:themeColor="accent3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FD6B1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.2pt;height:90.35pt" o:bullet="t">
        <v:imagedata r:id="rId1" o:title="art36BF"/>
      </v:shape>
    </w:pict>
  </w:numPicBullet>
  <w:abstractNum w:abstractNumId="0" w15:restartNumberingAfterBreak="0">
    <w:nsid w:val="04D75BBE"/>
    <w:multiLevelType w:val="hybridMultilevel"/>
    <w:tmpl w:val="8690E53A"/>
    <w:lvl w:ilvl="0" w:tplc="74E4C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0D0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433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CE3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0D4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10DD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002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CA09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A4A9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14528A"/>
    <w:multiLevelType w:val="hybridMultilevel"/>
    <w:tmpl w:val="7F242C58"/>
    <w:lvl w:ilvl="0" w:tplc="B0B0D9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427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BCD8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261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A3F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2A0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0A7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843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8B6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FB0149"/>
    <w:multiLevelType w:val="hybridMultilevel"/>
    <w:tmpl w:val="DAB84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734"/>
    <w:multiLevelType w:val="hybridMultilevel"/>
    <w:tmpl w:val="A600C916"/>
    <w:lvl w:ilvl="0" w:tplc="E00CD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6E2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081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0F8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C1A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5801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C69C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842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A0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A51324"/>
    <w:multiLevelType w:val="hybridMultilevel"/>
    <w:tmpl w:val="F59C2A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B40C5"/>
    <w:multiLevelType w:val="hybridMultilevel"/>
    <w:tmpl w:val="003088C4"/>
    <w:lvl w:ilvl="0" w:tplc="1526CC92">
      <w:start w:val="1"/>
      <w:numFmt w:val="bullet"/>
      <w:pStyle w:val="PargrafodaList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B79A9"/>
    <w:multiLevelType w:val="hybridMultilevel"/>
    <w:tmpl w:val="4F3E8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3873"/>
    <w:multiLevelType w:val="hybridMultilevel"/>
    <w:tmpl w:val="5A0E39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3FDD"/>
    <w:multiLevelType w:val="hybridMultilevel"/>
    <w:tmpl w:val="654A3C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B4C6C"/>
    <w:multiLevelType w:val="hybridMultilevel"/>
    <w:tmpl w:val="34FCF23A"/>
    <w:lvl w:ilvl="0" w:tplc="929269B8">
      <w:start w:val="1"/>
      <w:numFmt w:val="lowerLetter"/>
      <w:lvlText w:val="%1)"/>
      <w:lvlJc w:val="left"/>
      <w:pPr>
        <w:ind w:left="72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6CBA"/>
    <w:multiLevelType w:val="hybridMultilevel"/>
    <w:tmpl w:val="EC0C3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D76A5"/>
    <w:multiLevelType w:val="hybridMultilevel"/>
    <w:tmpl w:val="B2D40F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237AB"/>
    <w:multiLevelType w:val="hybridMultilevel"/>
    <w:tmpl w:val="B43AA0CA"/>
    <w:lvl w:ilvl="0" w:tplc="0816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11213"/>
    <w:multiLevelType w:val="hybridMultilevel"/>
    <w:tmpl w:val="2708A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B0337"/>
    <w:multiLevelType w:val="hybridMultilevel"/>
    <w:tmpl w:val="C65E7738"/>
    <w:lvl w:ilvl="0" w:tplc="35128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0311D"/>
    <w:multiLevelType w:val="hybridMultilevel"/>
    <w:tmpl w:val="AF7801C6"/>
    <w:lvl w:ilvl="0" w:tplc="6E4234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4FD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40B7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AA6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F6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204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BCFF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049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C72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1D6EAB"/>
    <w:multiLevelType w:val="hybridMultilevel"/>
    <w:tmpl w:val="102CC30C"/>
    <w:lvl w:ilvl="0" w:tplc="06AC451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592C92"/>
    <w:multiLevelType w:val="hybridMultilevel"/>
    <w:tmpl w:val="34668204"/>
    <w:lvl w:ilvl="0" w:tplc="453435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6E74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00F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683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C3D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AAC8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66D7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A9B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436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15"/>
  </w:num>
  <w:num w:numId="6">
    <w:abstractNumId w:val="3"/>
  </w:num>
  <w:num w:numId="7">
    <w:abstractNumId w:val="0"/>
  </w:num>
  <w:num w:numId="8">
    <w:abstractNumId w:val="17"/>
  </w:num>
  <w:num w:numId="9">
    <w:abstractNumId w:val="16"/>
  </w:num>
  <w:num w:numId="10">
    <w:abstractNumId w:val="6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88"/>
    <w:rsid w:val="0000796A"/>
    <w:rsid w:val="000156AC"/>
    <w:rsid w:val="0003319E"/>
    <w:rsid w:val="00037314"/>
    <w:rsid w:val="00057A66"/>
    <w:rsid w:val="0006305A"/>
    <w:rsid w:val="00063CE3"/>
    <w:rsid w:val="00065E7D"/>
    <w:rsid w:val="00067FB6"/>
    <w:rsid w:val="00092D9A"/>
    <w:rsid w:val="000944FC"/>
    <w:rsid w:val="00096ECA"/>
    <w:rsid w:val="000A33B7"/>
    <w:rsid w:val="000B601D"/>
    <w:rsid w:val="000D19B3"/>
    <w:rsid w:val="000D3C6A"/>
    <w:rsid w:val="000E18D9"/>
    <w:rsid w:val="000F3DA5"/>
    <w:rsid w:val="00104736"/>
    <w:rsid w:val="0010493A"/>
    <w:rsid w:val="00104B79"/>
    <w:rsid w:val="0011520C"/>
    <w:rsid w:val="00145EFB"/>
    <w:rsid w:val="001604E9"/>
    <w:rsid w:val="001646F1"/>
    <w:rsid w:val="001653E7"/>
    <w:rsid w:val="001807F8"/>
    <w:rsid w:val="00183A1D"/>
    <w:rsid w:val="00194A4D"/>
    <w:rsid w:val="001B1C4F"/>
    <w:rsid w:val="001B1EC6"/>
    <w:rsid w:val="001B5E49"/>
    <w:rsid w:val="001B6B0D"/>
    <w:rsid w:val="001B7FA5"/>
    <w:rsid w:val="001C07B1"/>
    <w:rsid w:val="001E26F4"/>
    <w:rsid w:val="001F04EB"/>
    <w:rsid w:val="0020298B"/>
    <w:rsid w:val="002052A0"/>
    <w:rsid w:val="00213AD4"/>
    <w:rsid w:val="00214E87"/>
    <w:rsid w:val="002155F2"/>
    <w:rsid w:val="002359C6"/>
    <w:rsid w:val="00251793"/>
    <w:rsid w:val="002525E7"/>
    <w:rsid w:val="002563B6"/>
    <w:rsid w:val="00271F78"/>
    <w:rsid w:val="00273F4C"/>
    <w:rsid w:val="00292E73"/>
    <w:rsid w:val="002C34F9"/>
    <w:rsid w:val="002F1084"/>
    <w:rsid w:val="0031009E"/>
    <w:rsid w:val="00310570"/>
    <w:rsid w:val="00313BC3"/>
    <w:rsid w:val="003163F3"/>
    <w:rsid w:val="00355D66"/>
    <w:rsid w:val="00356643"/>
    <w:rsid w:val="00367DF0"/>
    <w:rsid w:val="00370073"/>
    <w:rsid w:val="00374A26"/>
    <w:rsid w:val="0039458D"/>
    <w:rsid w:val="00396813"/>
    <w:rsid w:val="003A38D6"/>
    <w:rsid w:val="003A5938"/>
    <w:rsid w:val="003B0A56"/>
    <w:rsid w:val="003B6E4B"/>
    <w:rsid w:val="003B7156"/>
    <w:rsid w:val="003C1AB4"/>
    <w:rsid w:val="003D12B3"/>
    <w:rsid w:val="003D2942"/>
    <w:rsid w:val="003F6C54"/>
    <w:rsid w:val="00402C06"/>
    <w:rsid w:val="00406649"/>
    <w:rsid w:val="004242AA"/>
    <w:rsid w:val="00425B69"/>
    <w:rsid w:val="00447151"/>
    <w:rsid w:val="00447FFC"/>
    <w:rsid w:val="004501E3"/>
    <w:rsid w:val="0045206F"/>
    <w:rsid w:val="00460E31"/>
    <w:rsid w:val="00460E73"/>
    <w:rsid w:val="0047556B"/>
    <w:rsid w:val="00476134"/>
    <w:rsid w:val="00496446"/>
    <w:rsid w:val="004A27F5"/>
    <w:rsid w:val="004A58E6"/>
    <w:rsid w:val="004B22C3"/>
    <w:rsid w:val="004B2C8D"/>
    <w:rsid w:val="004B42C1"/>
    <w:rsid w:val="004D1379"/>
    <w:rsid w:val="004D4DD9"/>
    <w:rsid w:val="004E71A4"/>
    <w:rsid w:val="005132C1"/>
    <w:rsid w:val="00526F64"/>
    <w:rsid w:val="00541EFF"/>
    <w:rsid w:val="0055072A"/>
    <w:rsid w:val="00552B9B"/>
    <w:rsid w:val="00564345"/>
    <w:rsid w:val="00564605"/>
    <w:rsid w:val="0056630C"/>
    <w:rsid w:val="005862CB"/>
    <w:rsid w:val="00594F08"/>
    <w:rsid w:val="005A27FE"/>
    <w:rsid w:val="005B2F39"/>
    <w:rsid w:val="005C7EAF"/>
    <w:rsid w:val="005D4102"/>
    <w:rsid w:val="005F30DF"/>
    <w:rsid w:val="005F5889"/>
    <w:rsid w:val="00626CDF"/>
    <w:rsid w:val="0063180F"/>
    <w:rsid w:val="006408E5"/>
    <w:rsid w:val="00645DEB"/>
    <w:rsid w:val="00655AF3"/>
    <w:rsid w:val="00682AC9"/>
    <w:rsid w:val="006831DF"/>
    <w:rsid w:val="00685555"/>
    <w:rsid w:val="00685B05"/>
    <w:rsid w:val="0069099F"/>
    <w:rsid w:val="006968EC"/>
    <w:rsid w:val="006A282E"/>
    <w:rsid w:val="006A299F"/>
    <w:rsid w:val="006A2F00"/>
    <w:rsid w:val="006A5F31"/>
    <w:rsid w:val="006B21F8"/>
    <w:rsid w:val="006C07A7"/>
    <w:rsid w:val="006C6573"/>
    <w:rsid w:val="006D3E8C"/>
    <w:rsid w:val="006E392D"/>
    <w:rsid w:val="006E738F"/>
    <w:rsid w:val="007033DB"/>
    <w:rsid w:val="00707522"/>
    <w:rsid w:val="00711192"/>
    <w:rsid w:val="00723A24"/>
    <w:rsid w:val="0072701D"/>
    <w:rsid w:val="0073256F"/>
    <w:rsid w:val="0073758F"/>
    <w:rsid w:val="00740BED"/>
    <w:rsid w:val="007559A9"/>
    <w:rsid w:val="0075719F"/>
    <w:rsid w:val="00760406"/>
    <w:rsid w:val="0076196C"/>
    <w:rsid w:val="00765468"/>
    <w:rsid w:val="00767288"/>
    <w:rsid w:val="007702FB"/>
    <w:rsid w:val="00776C80"/>
    <w:rsid w:val="00781CB0"/>
    <w:rsid w:val="00782ADF"/>
    <w:rsid w:val="00783111"/>
    <w:rsid w:val="007840C8"/>
    <w:rsid w:val="00792BDB"/>
    <w:rsid w:val="007B2BC6"/>
    <w:rsid w:val="007B4484"/>
    <w:rsid w:val="007C1273"/>
    <w:rsid w:val="007C5033"/>
    <w:rsid w:val="007C755E"/>
    <w:rsid w:val="007E4335"/>
    <w:rsid w:val="007E5B35"/>
    <w:rsid w:val="008022FE"/>
    <w:rsid w:val="00821D94"/>
    <w:rsid w:val="008316C1"/>
    <w:rsid w:val="00847CBC"/>
    <w:rsid w:val="00860098"/>
    <w:rsid w:val="00867DDD"/>
    <w:rsid w:val="00872CA7"/>
    <w:rsid w:val="00873585"/>
    <w:rsid w:val="008838EB"/>
    <w:rsid w:val="00884C15"/>
    <w:rsid w:val="00885E3C"/>
    <w:rsid w:val="0089309A"/>
    <w:rsid w:val="008A0C7B"/>
    <w:rsid w:val="008A3CFF"/>
    <w:rsid w:val="008A7A0D"/>
    <w:rsid w:val="008C0594"/>
    <w:rsid w:val="008C48CC"/>
    <w:rsid w:val="008D3DFA"/>
    <w:rsid w:val="008D4EF5"/>
    <w:rsid w:val="008F215C"/>
    <w:rsid w:val="008F7E76"/>
    <w:rsid w:val="00901C87"/>
    <w:rsid w:val="009062ED"/>
    <w:rsid w:val="00911BF8"/>
    <w:rsid w:val="0092129B"/>
    <w:rsid w:val="00931ED2"/>
    <w:rsid w:val="009370AE"/>
    <w:rsid w:val="009523A5"/>
    <w:rsid w:val="00956759"/>
    <w:rsid w:val="00975912"/>
    <w:rsid w:val="00983619"/>
    <w:rsid w:val="00997409"/>
    <w:rsid w:val="009B5365"/>
    <w:rsid w:val="009B541B"/>
    <w:rsid w:val="009C4A68"/>
    <w:rsid w:val="009C4D54"/>
    <w:rsid w:val="009C75DC"/>
    <w:rsid w:val="009D0C04"/>
    <w:rsid w:val="009D516F"/>
    <w:rsid w:val="009E4F88"/>
    <w:rsid w:val="009F0630"/>
    <w:rsid w:val="009F679B"/>
    <w:rsid w:val="00A00E77"/>
    <w:rsid w:val="00A13550"/>
    <w:rsid w:val="00A1791F"/>
    <w:rsid w:val="00A20166"/>
    <w:rsid w:val="00A20DFC"/>
    <w:rsid w:val="00A219B0"/>
    <w:rsid w:val="00A21E20"/>
    <w:rsid w:val="00A34F79"/>
    <w:rsid w:val="00A4761B"/>
    <w:rsid w:val="00A476BB"/>
    <w:rsid w:val="00A47E51"/>
    <w:rsid w:val="00A52529"/>
    <w:rsid w:val="00A5427C"/>
    <w:rsid w:val="00A61250"/>
    <w:rsid w:val="00A75BFD"/>
    <w:rsid w:val="00A76DD9"/>
    <w:rsid w:val="00A80ED4"/>
    <w:rsid w:val="00A8527D"/>
    <w:rsid w:val="00A96C7D"/>
    <w:rsid w:val="00AA504D"/>
    <w:rsid w:val="00AC34BF"/>
    <w:rsid w:val="00AC5612"/>
    <w:rsid w:val="00AD1DD8"/>
    <w:rsid w:val="00AE229C"/>
    <w:rsid w:val="00AE248B"/>
    <w:rsid w:val="00AF26A8"/>
    <w:rsid w:val="00AF2B98"/>
    <w:rsid w:val="00B12C79"/>
    <w:rsid w:val="00B15517"/>
    <w:rsid w:val="00B2535F"/>
    <w:rsid w:val="00B26B88"/>
    <w:rsid w:val="00B275B4"/>
    <w:rsid w:val="00B35B48"/>
    <w:rsid w:val="00B508CD"/>
    <w:rsid w:val="00B57B27"/>
    <w:rsid w:val="00B70156"/>
    <w:rsid w:val="00B80A33"/>
    <w:rsid w:val="00B83253"/>
    <w:rsid w:val="00B86B73"/>
    <w:rsid w:val="00BB27C4"/>
    <w:rsid w:val="00BE2E31"/>
    <w:rsid w:val="00C070AE"/>
    <w:rsid w:val="00C14CB7"/>
    <w:rsid w:val="00C229A4"/>
    <w:rsid w:val="00C5447A"/>
    <w:rsid w:val="00C5653A"/>
    <w:rsid w:val="00C66478"/>
    <w:rsid w:val="00CA3BD3"/>
    <w:rsid w:val="00CA6A93"/>
    <w:rsid w:val="00CB3570"/>
    <w:rsid w:val="00CC2D2A"/>
    <w:rsid w:val="00CC668C"/>
    <w:rsid w:val="00CD20F2"/>
    <w:rsid w:val="00CD4DD9"/>
    <w:rsid w:val="00CE456C"/>
    <w:rsid w:val="00CF7593"/>
    <w:rsid w:val="00CF7EF3"/>
    <w:rsid w:val="00D07EEA"/>
    <w:rsid w:val="00D17181"/>
    <w:rsid w:val="00D239AD"/>
    <w:rsid w:val="00D23F0F"/>
    <w:rsid w:val="00D43C18"/>
    <w:rsid w:val="00D466B0"/>
    <w:rsid w:val="00D5326E"/>
    <w:rsid w:val="00D567BE"/>
    <w:rsid w:val="00D80F4C"/>
    <w:rsid w:val="00D824A4"/>
    <w:rsid w:val="00D9349F"/>
    <w:rsid w:val="00D95ABD"/>
    <w:rsid w:val="00D9619E"/>
    <w:rsid w:val="00D962E3"/>
    <w:rsid w:val="00DA1E36"/>
    <w:rsid w:val="00DB43E8"/>
    <w:rsid w:val="00DB444C"/>
    <w:rsid w:val="00DC2DD3"/>
    <w:rsid w:val="00DC5A6F"/>
    <w:rsid w:val="00DD7F80"/>
    <w:rsid w:val="00DF0A37"/>
    <w:rsid w:val="00E004B4"/>
    <w:rsid w:val="00E03B2E"/>
    <w:rsid w:val="00E057F8"/>
    <w:rsid w:val="00E142FB"/>
    <w:rsid w:val="00E15AD8"/>
    <w:rsid w:val="00E17C18"/>
    <w:rsid w:val="00E2255D"/>
    <w:rsid w:val="00E2702D"/>
    <w:rsid w:val="00E32B29"/>
    <w:rsid w:val="00E37DE8"/>
    <w:rsid w:val="00E421AA"/>
    <w:rsid w:val="00E54011"/>
    <w:rsid w:val="00E54700"/>
    <w:rsid w:val="00E57507"/>
    <w:rsid w:val="00E618CD"/>
    <w:rsid w:val="00E778BF"/>
    <w:rsid w:val="00EC16B0"/>
    <w:rsid w:val="00ED55AA"/>
    <w:rsid w:val="00EE0B41"/>
    <w:rsid w:val="00EE30D2"/>
    <w:rsid w:val="00EF75F9"/>
    <w:rsid w:val="00EF7D8F"/>
    <w:rsid w:val="00F107C2"/>
    <w:rsid w:val="00F11D27"/>
    <w:rsid w:val="00F12468"/>
    <w:rsid w:val="00F16E13"/>
    <w:rsid w:val="00F17E71"/>
    <w:rsid w:val="00F2311E"/>
    <w:rsid w:val="00F24524"/>
    <w:rsid w:val="00F245B1"/>
    <w:rsid w:val="00F24F38"/>
    <w:rsid w:val="00F26EFB"/>
    <w:rsid w:val="00F31269"/>
    <w:rsid w:val="00F417CC"/>
    <w:rsid w:val="00F525CB"/>
    <w:rsid w:val="00F55FAB"/>
    <w:rsid w:val="00F5702D"/>
    <w:rsid w:val="00F576F7"/>
    <w:rsid w:val="00F63533"/>
    <w:rsid w:val="00F64BB7"/>
    <w:rsid w:val="00F64DC5"/>
    <w:rsid w:val="00F72BAA"/>
    <w:rsid w:val="00F830EC"/>
    <w:rsid w:val="00F86D85"/>
    <w:rsid w:val="00F95A0D"/>
    <w:rsid w:val="00F96AC7"/>
    <w:rsid w:val="00FA2168"/>
    <w:rsid w:val="00FA4431"/>
    <w:rsid w:val="00FC048B"/>
    <w:rsid w:val="00FC26C8"/>
    <w:rsid w:val="00FC6015"/>
    <w:rsid w:val="00FD420D"/>
    <w:rsid w:val="00FE22BD"/>
    <w:rsid w:val="00FF49BE"/>
    <w:rsid w:val="00FF626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D2262"/>
  <w15:docId w15:val="{4F992306-09A1-49F8-A6B4-54DB5DF1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26B88"/>
    <w:rPr>
      <w:rFonts w:eastAsia="SimSu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2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5F30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5F30D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7556B"/>
    <w:rPr>
      <w:rFonts w:eastAsia="SimSun"/>
      <w:sz w:val="24"/>
      <w:szCs w:val="24"/>
      <w:lang w:eastAsia="zh-CN"/>
    </w:rPr>
  </w:style>
  <w:style w:type="character" w:styleId="Hiperligao">
    <w:name w:val="Hyperlink"/>
    <w:rsid w:val="00F12468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rsid w:val="00A20166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rsid w:val="00A20166"/>
    <w:rPr>
      <w:rFonts w:eastAsia="SimSun"/>
      <w:lang w:eastAsia="zh-CN"/>
    </w:rPr>
  </w:style>
  <w:style w:type="character" w:styleId="Refdenotaderodap">
    <w:name w:val="footnote reference"/>
    <w:uiPriority w:val="99"/>
    <w:rsid w:val="00A20166"/>
    <w:rPr>
      <w:vertAlign w:val="superscript"/>
    </w:rPr>
  </w:style>
  <w:style w:type="character" w:customStyle="1" w:styleId="CabealhoCarter">
    <w:name w:val="Cabeçalho Caráter"/>
    <w:link w:val="Cabealho"/>
    <w:uiPriority w:val="99"/>
    <w:rsid w:val="00BE2E31"/>
    <w:rPr>
      <w:rFonts w:eastAsia="SimSun"/>
      <w:sz w:val="24"/>
      <w:szCs w:val="24"/>
      <w:lang w:eastAsia="zh-CN"/>
    </w:rPr>
  </w:style>
  <w:style w:type="paragraph" w:styleId="Textodebalo">
    <w:name w:val="Balloon Text"/>
    <w:basedOn w:val="Normal"/>
    <w:link w:val="TextodebaloCarter"/>
    <w:rsid w:val="00BE2E31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BE2E31"/>
    <w:rPr>
      <w:rFonts w:ascii="Tahoma" w:eastAsia="SimSu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arter"/>
    <w:rsid w:val="001604E9"/>
    <w:pPr>
      <w:spacing w:line="360" w:lineRule="auto"/>
      <w:jc w:val="both"/>
    </w:pPr>
    <w:rPr>
      <w:rFonts w:ascii="BernhardMod BT" w:eastAsia="Times New Roman" w:hAnsi="BernhardMod BT"/>
    </w:rPr>
  </w:style>
  <w:style w:type="character" w:customStyle="1" w:styleId="CorpodetextoCarter">
    <w:name w:val="Corpo de texto Caráter"/>
    <w:link w:val="Corpodetexto"/>
    <w:rsid w:val="001604E9"/>
    <w:rPr>
      <w:rFonts w:ascii="BernhardMod BT" w:hAnsi="BernhardMod BT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630C"/>
    <w:pPr>
      <w:spacing w:before="100" w:beforeAutospacing="1" w:after="100" w:afterAutospacing="1"/>
    </w:pPr>
    <w:rPr>
      <w:rFonts w:eastAsia="Times New Roman"/>
      <w:lang w:eastAsia="pt-PT"/>
    </w:rPr>
  </w:style>
  <w:style w:type="paragraph" w:styleId="Textodenotadefim">
    <w:name w:val="endnote text"/>
    <w:basedOn w:val="Normal"/>
    <w:link w:val="TextodenotadefimCarter"/>
    <w:rsid w:val="00F525C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F525CB"/>
    <w:rPr>
      <w:rFonts w:eastAsia="SimSun"/>
      <w:lang w:eastAsia="zh-CN"/>
    </w:rPr>
  </w:style>
  <w:style w:type="character" w:styleId="Refdenotadefim">
    <w:name w:val="endnote reference"/>
    <w:rsid w:val="00F525C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A5F31"/>
    <w:pPr>
      <w:numPr>
        <w:numId w:val="14"/>
      </w:numPr>
      <w:shd w:val="clear" w:color="auto" w:fill="FFFFFF"/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39"/>
    <w:rsid w:val="00E057F8"/>
    <w:rPr>
      <w:rFonts w:ascii="Century Gothic" w:eastAsia="Century Gothic" w:hAnsi="Century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DD3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F0A6-CF0E-43F4-8629-8ACDDFBA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Áreas a avaliar</vt:lpstr>
      <vt:lpstr>Áreas a avaliar</vt:lpstr>
    </vt:vector>
  </TitlesOfParts>
  <Company>M. E. - GEPE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Áreas a avaliar</dc:title>
  <dc:creator>Serafim Manuel</dc:creator>
  <cp:lastModifiedBy>HP</cp:lastModifiedBy>
  <cp:revision>2</cp:revision>
  <dcterms:created xsi:type="dcterms:W3CDTF">2017-05-17T18:53:00Z</dcterms:created>
  <dcterms:modified xsi:type="dcterms:W3CDTF">2017-05-17T18:53:00Z</dcterms:modified>
</cp:coreProperties>
</file>